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1626" w:firstLineChars="450"/>
        <w:rPr>
          <w:rFonts w:hint="eastAsia" w:cs="宋体" w:asciiTheme="minorEastAsia" w:hAnsiTheme="minorEastAsia" w:eastAsiaTheme="minorEastAsia"/>
          <w:b/>
          <w:bCs/>
          <w:color w:val="000000"/>
          <w:sz w:val="36"/>
          <w:szCs w:val="36"/>
        </w:rPr>
      </w:pPr>
    </w:p>
    <w:p>
      <w:pPr>
        <w:ind w:firstLine="1626" w:firstLineChars="450"/>
        <w:rPr>
          <w:rFonts w:hint="eastAsia" w:cs="宋体" w:asciiTheme="minorEastAsia" w:hAnsiTheme="minorEastAsia" w:eastAsiaTheme="minorEastAsia"/>
          <w:b/>
          <w:bCs/>
          <w:color w:val="000000"/>
          <w:sz w:val="36"/>
          <w:szCs w:val="36"/>
        </w:rPr>
      </w:pPr>
    </w:p>
    <w:p>
      <w:pPr>
        <w:ind w:firstLine="1626" w:firstLineChars="450"/>
        <w:rPr>
          <w:rFonts w:hint="eastAsia" w:cs="宋体" w:asciiTheme="minorEastAsia" w:hAnsiTheme="minorEastAsia" w:eastAsiaTheme="minorEastAsia"/>
          <w:b/>
          <w:bCs/>
          <w:color w:val="000000"/>
          <w:sz w:val="36"/>
          <w:szCs w:val="36"/>
        </w:rPr>
      </w:pPr>
    </w:p>
    <w:p>
      <w:pPr>
        <w:ind w:firstLine="531" w:firstLineChars="147"/>
        <w:rPr>
          <w:rFonts w:cs="宋体" w:asciiTheme="minorEastAsia" w:hAnsiTheme="minorEastAsia" w:eastAsiaTheme="minorEastAsia"/>
          <w:b/>
          <w:color w:val="000000"/>
          <w:sz w:val="36"/>
          <w:szCs w:val="36"/>
          <w:u w:val="single"/>
        </w:rPr>
      </w:pPr>
      <w:r>
        <w:rPr>
          <w:rFonts w:hint="eastAsia" w:cs="宋体" w:asciiTheme="minorEastAsia" w:hAnsiTheme="minorEastAsia" w:eastAsiaTheme="minorEastAsia"/>
          <w:b/>
          <w:bCs/>
          <w:color w:val="000000"/>
          <w:sz w:val="36"/>
          <w:szCs w:val="36"/>
        </w:rPr>
        <w:t>项目名称：集团综合办公管理平台</w:t>
      </w:r>
      <w:r>
        <w:rPr>
          <w:rFonts w:hint="eastAsia" w:cs="宋体" w:asciiTheme="minorEastAsia" w:hAnsiTheme="minorEastAsia" w:eastAsiaTheme="minorEastAsia"/>
          <w:b/>
          <w:color w:val="000000"/>
          <w:sz w:val="36"/>
          <w:szCs w:val="36"/>
        </w:rPr>
        <w:t>系统</w:t>
      </w: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sz w:val="84"/>
          <w:szCs w:val="84"/>
        </w:rPr>
      </w:pPr>
      <w:r>
        <w:rPr>
          <w:rFonts w:hint="eastAsia" w:cs="宋体" w:asciiTheme="minorEastAsia" w:hAnsiTheme="minorEastAsia" w:eastAsiaTheme="minorEastAsia"/>
          <w:b/>
          <w:sz w:val="84"/>
          <w:szCs w:val="84"/>
          <w:lang w:val="en-US" w:eastAsia="zh-CN"/>
        </w:rPr>
        <w:t>竞争性磋商</w:t>
      </w:r>
      <w:r>
        <w:rPr>
          <w:rFonts w:hint="eastAsia" w:cs="宋体" w:asciiTheme="minorEastAsia" w:hAnsiTheme="minorEastAsia" w:eastAsiaTheme="minorEastAsia"/>
          <w:b/>
          <w:sz w:val="84"/>
          <w:szCs w:val="84"/>
        </w:rPr>
        <w:t>文件</w:t>
      </w: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spacing w:line="360" w:lineRule="auto"/>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bCs/>
          <w:color w:val="000000"/>
          <w:sz w:val="32"/>
          <w:szCs w:val="32"/>
          <w:lang w:eastAsia="zh-CN"/>
        </w:rPr>
        <w:t>采购人</w:t>
      </w:r>
      <w:r>
        <w:rPr>
          <w:rFonts w:hint="eastAsia" w:cs="宋体" w:asciiTheme="minorEastAsia" w:hAnsiTheme="minorEastAsia" w:eastAsiaTheme="minorEastAsia"/>
          <w:bCs/>
          <w:color w:val="000000"/>
          <w:sz w:val="32"/>
          <w:szCs w:val="32"/>
        </w:rPr>
        <w:t>：泸州兴阳投资集团有限公司（盖章）</w:t>
      </w:r>
    </w:p>
    <w:p>
      <w:pPr>
        <w:spacing w:line="360" w:lineRule="auto"/>
        <w:ind w:firstLine="2560" w:firstLineChars="800"/>
        <w:rPr>
          <w:rFonts w:cs="宋体" w:asciiTheme="minorEastAsia" w:hAnsiTheme="minorEastAsia" w:eastAsiaTheme="minorEastAsia"/>
          <w:b/>
          <w:color w:val="000000"/>
          <w:sz w:val="32"/>
          <w:szCs w:val="32"/>
        </w:rPr>
      </w:pPr>
      <w:r>
        <w:rPr>
          <w:rFonts w:hint="eastAsia" w:cs="宋体" w:asciiTheme="minorEastAsia" w:hAnsiTheme="minorEastAsia" w:eastAsiaTheme="minorEastAsia"/>
          <w:color w:val="000000"/>
          <w:sz w:val="32"/>
          <w:szCs w:val="32"/>
        </w:rPr>
        <w:t>2018年</w:t>
      </w:r>
      <w:r>
        <w:rPr>
          <w:rFonts w:hint="eastAsia" w:cs="宋体" w:asciiTheme="minorEastAsia" w:hAnsiTheme="minorEastAsia" w:eastAsiaTheme="minorEastAsia"/>
          <w:color w:val="000000"/>
          <w:sz w:val="32"/>
          <w:szCs w:val="32"/>
          <w:lang w:val="en-US" w:eastAsia="zh-CN"/>
        </w:rPr>
        <w:t>3</w:t>
      </w:r>
      <w:r>
        <w:rPr>
          <w:rFonts w:hint="eastAsia" w:cs="宋体" w:asciiTheme="minorEastAsia" w:hAnsiTheme="minorEastAsia" w:eastAsiaTheme="minorEastAsia"/>
          <w:color w:val="000000"/>
          <w:sz w:val="32"/>
          <w:szCs w:val="32"/>
        </w:rPr>
        <w:t>月</w:t>
      </w:r>
      <w:r>
        <w:rPr>
          <w:rFonts w:hint="eastAsia" w:cs="宋体" w:asciiTheme="minorEastAsia" w:hAnsiTheme="minorEastAsia" w:eastAsiaTheme="minorEastAsia"/>
          <w:color w:val="000000"/>
          <w:sz w:val="32"/>
          <w:szCs w:val="32"/>
          <w:lang w:val="en-US" w:eastAsia="zh-CN"/>
        </w:rPr>
        <w:t>29</w:t>
      </w:r>
      <w:r>
        <w:rPr>
          <w:rFonts w:hint="eastAsia" w:cs="宋体" w:asciiTheme="minorEastAsia" w:hAnsiTheme="minorEastAsia" w:eastAsiaTheme="minorEastAsia"/>
          <w:color w:val="000000"/>
          <w:sz w:val="32"/>
          <w:szCs w:val="32"/>
        </w:rPr>
        <w:t>日</w:t>
      </w:r>
    </w:p>
    <w:p>
      <w:pPr>
        <w:spacing w:line="400" w:lineRule="exact"/>
        <w:rPr>
          <w:rFonts w:ascii="微软雅黑" w:hAnsi="微软雅黑" w:eastAsia="微软雅黑" w:cs="宋体"/>
          <w:color w:val="000000"/>
          <w:sz w:val="32"/>
        </w:rPr>
        <w:sectPr>
          <w:headerReference r:id="rId3" w:type="even"/>
          <w:footerReference r:id="rId4" w:type="even"/>
          <w:pgSz w:w="11907" w:h="16840"/>
          <w:pgMar w:top="1418" w:right="1514" w:bottom="1418" w:left="1985" w:header="851" w:footer="992" w:gutter="0"/>
          <w:pgNumType w:start="1"/>
          <w:cols w:space="720" w:num="1"/>
          <w:docGrid w:type="lines" w:linePitch="312" w:charSpace="0"/>
        </w:sectPr>
      </w:pPr>
    </w:p>
    <w:p>
      <w:pPr>
        <w:pStyle w:val="24"/>
        <w:jc w:val="center"/>
        <w:rPr>
          <w:rFonts w:ascii="微软雅黑" w:hAnsi="微软雅黑" w:eastAsia="微软雅黑" w:cs="宋体"/>
          <w:color w:val="000000"/>
        </w:rPr>
      </w:pPr>
      <w:bookmarkStart w:id="0" w:name="_Hlt101843627"/>
      <w:bookmarkEnd w:id="0"/>
      <w:bookmarkStart w:id="1" w:name="_Hlt101233737"/>
      <w:bookmarkEnd w:id="1"/>
      <w:r>
        <w:rPr>
          <w:rFonts w:hint="eastAsia" w:ascii="微软雅黑" w:hAnsi="微软雅黑" w:eastAsia="微软雅黑" w:cs="宋体"/>
          <w:color w:val="000000"/>
          <w:lang w:val="zh-CN"/>
        </w:rPr>
        <w:t>目 录</w:t>
      </w:r>
    </w:p>
    <w:p>
      <w:pPr>
        <w:pStyle w:val="16"/>
        <w:tabs>
          <w:tab w:val="right" w:leader="dot" w:pos="8949"/>
        </w:tabs>
        <w:rPr>
          <w:rFonts w:asciiTheme="minorHAnsi" w:hAnsiTheme="minorHAnsi" w:eastAsiaTheme="minorEastAsia" w:cstheme="minorBidi"/>
          <w:kern w:val="2"/>
          <w:sz w:val="21"/>
        </w:rPr>
      </w:pPr>
      <w:r>
        <w:rPr>
          <w:rFonts w:hint="eastAsia" w:ascii="微软雅黑" w:hAnsi="微软雅黑" w:eastAsia="微软雅黑" w:cs="宋体"/>
          <w:color w:val="000000"/>
        </w:rPr>
        <w:fldChar w:fldCharType="begin"/>
      </w:r>
      <w:r>
        <w:rPr>
          <w:rFonts w:hint="eastAsia" w:ascii="微软雅黑" w:hAnsi="微软雅黑" w:eastAsia="微软雅黑" w:cs="宋体"/>
          <w:color w:val="000000"/>
        </w:rPr>
        <w:instrText xml:space="preserve"> TOC \o "1-3" \h \z \u </w:instrText>
      </w:r>
      <w:r>
        <w:rPr>
          <w:rFonts w:hint="eastAsia" w:ascii="微软雅黑" w:hAnsi="微软雅黑" w:eastAsia="微软雅黑" w:cs="宋体"/>
          <w:color w:val="000000"/>
        </w:rPr>
        <w:fldChar w:fldCharType="separate"/>
      </w:r>
      <w:r>
        <w:fldChar w:fldCharType="begin"/>
      </w:r>
      <w:r>
        <w:instrText xml:space="preserve"> HYPERLINK \l "_Toc508133957" </w:instrText>
      </w:r>
      <w:r>
        <w:fldChar w:fldCharType="separate"/>
      </w:r>
      <w:r>
        <w:rPr>
          <w:rStyle w:val="22"/>
          <w:rFonts w:hint="eastAsia" w:ascii="微软雅黑" w:hAnsi="微软雅黑" w:eastAsia="微软雅黑" w:cs="宋体"/>
        </w:rPr>
        <w:t>第一章</w:t>
      </w:r>
      <w:r>
        <w:rPr>
          <w:rStyle w:val="22"/>
          <w:rFonts w:ascii="微软雅黑" w:hAnsi="微软雅黑" w:eastAsia="微软雅黑" w:cs="宋体"/>
        </w:rPr>
        <w:t xml:space="preserve">  </w:t>
      </w:r>
      <w:r>
        <w:rPr>
          <w:rStyle w:val="22"/>
          <w:rFonts w:hint="eastAsia" w:ascii="微软雅黑" w:hAnsi="微软雅黑" w:eastAsia="微软雅黑" w:cs="宋体"/>
          <w:lang w:eastAsia="zh-CN"/>
        </w:rPr>
        <w:t>磋商</w:t>
      </w:r>
      <w:r>
        <w:rPr>
          <w:rStyle w:val="22"/>
          <w:rFonts w:hint="eastAsia" w:ascii="微软雅黑" w:hAnsi="微软雅黑" w:eastAsia="微软雅黑" w:cs="宋体"/>
        </w:rPr>
        <w:t>邀请</w:t>
      </w:r>
      <w:r>
        <w:tab/>
      </w:r>
      <w:r>
        <w:fldChar w:fldCharType="begin"/>
      </w:r>
      <w:r>
        <w:instrText xml:space="preserve"> PAGEREF _Toc508133957 \h </w:instrText>
      </w:r>
      <w:r>
        <w:fldChar w:fldCharType="separate"/>
      </w:r>
      <w:r>
        <w:t>4</w:t>
      </w:r>
      <w:r>
        <w:fldChar w:fldCharType="end"/>
      </w:r>
      <w:r>
        <w:fldChar w:fldCharType="end"/>
      </w:r>
    </w:p>
    <w:p>
      <w:pPr>
        <w:pStyle w:val="16"/>
        <w:tabs>
          <w:tab w:val="right" w:leader="dot" w:pos="8949"/>
        </w:tabs>
        <w:rPr>
          <w:rFonts w:asciiTheme="minorHAnsi" w:hAnsiTheme="minorHAnsi" w:eastAsiaTheme="minorEastAsia" w:cstheme="minorBidi"/>
          <w:kern w:val="2"/>
          <w:sz w:val="21"/>
        </w:rPr>
      </w:pPr>
      <w:r>
        <w:fldChar w:fldCharType="begin"/>
      </w:r>
      <w:r>
        <w:instrText xml:space="preserve"> HYPERLINK \l "_Toc508133958" </w:instrText>
      </w:r>
      <w:r>
        <w:fldChar w:fldCharType="separate"/>
      </w:r>
      <w:r>
        <w:rPr>
          <w:rStyle w:val="22"/>
          <w:rFonts w:hint="eastAsia" w:ascii="微软雅黑" w:hAnsi="微软雅黑" w:eastAsia="微软雅黑" w:cs="宋体"/>
        </w:rPr>
        <w:t>第二章</w:t>
      </w:r>
      <w:r>
        <w:rPr>
          <w:rStyle w:val="22"/>
          <w:rFonts w:ascii="微软雅黑" w:hAnsi="微软雅黑" w:eastAsia="微软雅黑" w:cs="宋体"/>
        </w:rPr>
        <w:t xml:space="preserve">  </w:t>
      </w:r>
      <w:r>
        <w:rPr>
          <w:rStyle w:val="22"/>
          <w:rFonts w:hint="eastAsia" w:ascii="微软雅黑" w:hAnsi="微软雅黑" w:eastAsia="微软雅黑" w:cs="宋体"/>
          <w:lang w:eastAsia="zh-CN"/>
        </w:rPr>
        <w:t>申请人</w:t>
      </w:r>
      <w:r>
        <w:rPr>
          <w:rStyle w:val="22"/>
          <w:rFonts w:hint="eastAsia" w:ascii="微软雅黑" w:hAnsi="微软雅黑" w:eastAsia="微软雅黑" w:cs="宋体"/>
        </w:rPr>
        <w:t>须知</w:t>
      </w:r>
      <w:r>
        <w:tab/>
      </w:r>
      <w:r>
        <w:fldChar w:fldCharType="begin"/>
      </w:r>
      <w:r>
        <w:instrText xml:space="preserve"> PAGEREF _Toc508133958 \h </w:instrText>
      </w:r>
      <w:r>
        <w:fldChar w:fldCharType="separate"/>
      </w:r>
      <w:r>
        <w:t>7</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"_Toc508133959" </w:instrText>
      </w:r>
      <w:r>
        <w:fldChar w:fldCharType="separate"/>
      </w:r>
      <w:r>
        <w:rPr>
          <w:rStyle w:val="22"/>
          <w:rFonts w:hint="eastAsia" w:ascii="微软雅黑" w:hAnsi="微软雅黑" w:eastAsia="微软雅黑" w:cs="宋体"/>
        </w:rPr>
        <w:t>一、</w:t>
      </w:r>
      <w:r>
        <w:rPr>
          <w:rStyle w:val="22"/>
          <w:rFonts w:hint="eastAsia" w:ascii="微软雅黑" w:hAnsi="微软雅黑" w:eastAsia="微软雅黑" w:cs="宋体"/>
          <w:lang w:eastAsia="zh-CN"/>
        </w:rPr>
        <w:t>申请人</w:t>
      </w:r>
      <w:r>
        <w:rPr>
          <w:rStyle w:val="22"/>
          <w:rFonts w:hint="eastAsia" w:ascii="微软雅黑" w:hAnsi="微软雅黑" w:eastAsia="微软雅黑" w:cs="宋体"/>
        </w:rPr>
        <w:t>须知附表</w:t>
      </w:r>
      <w:r>
        <w:tab/>
      </w:r>
      <w:r>
        <w:fldChar w:fldCharType="begin"/>
      </w:r>
      <w:r>
        <w:instrText xml:space="preserve"> PAGEREF _Toc508133959 \h </w:instrText>
      </w:r>
      <w:r>
        <w:fldChar w:fldCharType="separate"/>
      </w:r>
      <w:r>
        <w:t>7</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"_Toc508133960" </w:instrText>
      </w:r>
      <w:r>
        <w:fldChar w:fldCharType="separate"/>
      </w:r>
      <w:r>
        <w:rPr>
          <w:rStyle w:val="22"/>
          <w:rFonts w:hint="eastAsia" w:ascii="微软雅黑" w:hAnsi="微软雅黑" w:eastAsia="微软雅黑"/>
        </w:rPr>
        <w:t>二、</w:t>
      </w:r>
      <w:r>
        <w:rPr>
          <w:rStyle w:val="22"/>
          <w:rFonts w:hint="eastAsia" w:ascii="微软雅黑" w:hAnsi="微软雅黑" w:eastAsia="微软雅黑" w:cs="宋体"/>
          <w:lang w:eastAsia="zh-CN"/>
        </w:rPr>
        <w:t>响应文件</w:t>
      </w:r>
      <w:r>
        <w:tab/>
      </w:r>
      <w:r>
        <w:fldChar w:fldCharType="begin"/>
      </w:r>
      <w:r>
        <w:instrText xml:space="preserve"> PAGEREF _Toc508133960 \h </w:instrText>
      </w:r>
      <w:r>
        <w:fldChar w:fldCharType="separate"/>
      </w:r>
      <w:r>
        <w:t>9</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"_Toc508133961" </w:instrText>
      </w:r>
      <w:r>
        <w:fldChar w:fldCharType="separate"/>
      </w:r>
      <w:r>
        <w:rPr>
          <w:rStyle w:val="22"/>
          <w:rFonts w:ascii="微软雅黑" w:hAnsi="微软雅黑" w:eastAsia="微软雅黑" w:cs="宋体"/>
        </w:rPr>
        <w:t xml:space="preserve">1. </w:t>
      </w:r>
      <w:r>
        <w:rPr>
          <w:rStyle w:val="22"/>
          <w:rFonts w:hint="eastAsia" w:ascii="微软雅黑" w:hAnsi="微软雅黑" w:eastAsia="微软雅黑" w:cs="宋体"/>
        </w:rPr>
        <w:t>计量单位</w:t>
      </w:r>
      <w:r>
        <w:tab/>
      </w:r>
      <w:r>
        <w:fldChar w:fldCharType="begin"/>
      </w:r>
      <w:r>
        <w:instrText xml:space="preserve"> PAGEREF _Toc508133961 \h </w:instrText>
      </w:r>
      <w:r>
        <w:fldChar w:fldCharType="separate"/>
      </w:r>
      <w:r>
        <w:t>9</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"_Toc508133962" </w:instrText>
      </w:r>
      <w:r>
        <w:fldChar w:fldCharType="separate"/>
      </w:r>
      <w:r>
        <w:rPr>
          <w:rStyle w:val="22"/>
          <w:rFonts w:ascii="微软雅黑" w:hAnsi="微软雅黑" w:eastAsia="微软雅黑" w:cs="宋体"/>
        </w:rPr>
        <w:t xml:space="preserve">2. </w:t>
      </w:r>
      <w:r>
        <w:rPr>
          <w:rStyle w:val="22"/>
          <w:rFonts w:hint="eastAsia" w:ascii="微软雅黑" w:hAnsi="微软雅黑" w:eastAsia="微软雅黑" w:cs="宋体"/>
          <w:lang w:eastAsia="zh-CN"/>
        </w:rPr>
        <w:t>磋商</w:t>
      </w:r>
      <w:r>
        <w:rPr>
          <w:rStyle w:val="22"/>
          <w:rFonts w:hint="eastAsia" w:ascii="微软雅黑" w:hAnsi="微软雅黑" w:eastAsia="微软雅黑" w:cs="宋体"/>
        </w:rPr>
        <w:t>货币</w:t>
      </w:r>
      <w:r>
        <w:tab/>
      </w:r>
      <w:r>
        <w:fldChar w:fldCharType="begin"/>
      </w:r>
      <w:r>
        <w:instrText xml:space="preserve"> PAGEREF _Toc508133962 \h </w:instrText>
      </w:r>
      <w:r>
        <w:fldChar w:fldCharType="separate"/>
      </w:r>
      <w:r>
        <w:t>9</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"_Toc508133963" </w:instrText>
      </w:r>
      <w:r>
        <w:fldChar w:fldCharType="separate"/>
      </w:r>
      <w:r>
        <w:rPr>
          <w:rStyle w:val="22"/>
          <w:rFonts w:ascii="微软雅黑" w:hAnsi="微软雅黑" w:eastAsia="微软雅黑" w:cs="宋体"/>
        </w:rPr>
        <w:t xml:space="preserve">3. </w:t>
      </w:r>
      <w:r>
        <w:rPr>
          <w:rStyle w:val="22"/>
          <w:rFonts w:hint="eastAsia" w:ascii="微软雅黑" w:hAnsi="微软雅黑" w:eastAsia="微软雅黑" w:cs="宋体"/>
        </w:rPr>
        <w:t>知识产权</w:t>
      </w:r>
      <w:r>
        <w:tab/>
      </w:r>
      <w:r>
        <w:fldChar w:fldCharType="begin"/>
      </w:r>
      <w:r>
        <w:instrText xml:space="preserve"> PAGEREF _Toc508133963 \h </w:instrText>
      </w:r>
      <w:r>
        <w:fldChar w:fldCharType="separate"/>
      </w:r>
      <w:r>
        <w:t>9</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"_Toc508133964" </w:instrText>
      </w:r>
      <w:r>
        <w:fldChar w:fldCharType="separate"/>
      </w:r>
      <w:r>
        <w:rPr>
          <w:rStyle w:val="22"/>
          <w:rFonts w:ascii="微软雅黑" w:hAnsi="微软雅黑" w:eastAsia="微软雅黑" w:cs="宋体"/>
        </w:rPr>
        <w:t xml:space="preserve">4. </w:t>
      </w:r>
      <w:r>
        <w:rPr>
          <w:rStyle w:val="22"/>
          <w:rFonts w:hint="eastAsia" w:ascii="微软雅黑" w:hAnsi="微软雅黑" w:eastAsia="微软雅黑" w:cs="宋体"/>
          <w:lang w:eastAsia="zh-CN"/>
        </w:rPr>
        <w:t>响应文件</w:t>
      </w:r>
      <w:r>
        <w:rPr>
          <w:rStyle w:val="22"/>
          <w:rFonts w:hint="eastAsia" w:ascii="微软雅黑" w:hAnsi="微软雅黑" w:eastAsia="微软雅黑" w:cs="宋体"/>
        </w:rPr>
        <w:t>的组成</w:t>
      </w:r>
      <w:r>
        <w:tab/>
      </w:r>
      <w:r>
        <w:fldChar w:fldCharType="begin"/>
      </w:r>
      <w:r>
        <w:instrText xml:space="preserve"> PAGEREF _Toc508133964 \h </w:instrText>
      </w:r>
      <w:r>
        <w:fldChar w:fldCharType="separate"/>
      </w:r>
      <w:r>
        <w:t>9</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"_Toc508133965" </w:instrText>
      </w:r>
      <w:r>
        <w:fldChar w:fldCharType="separate"/>
      </w:r>
      <w:r>
        <w:rPr>
          <w:rStyle w:val="22"/>
          <w:rFonts w:ascii="微软雅黑" w:hAnsi="微软雅黑" w:eastAsia="微软雅黑" w:cs="宋体"/>
        </w:rPr>
        <w:t xml:space="preserve">5. </w:t>
      </w:r>
      <w:r>
        <w:rPr>
          <w:rStyle w:val="22"/>
          <w:rFonts w:hint="eastAsia" w:ascii="微软雅黑" w:hAnsi="微软雅黑" w:eastAsia="微软雅黑" w:cs="宋体"/>
          <w:lang w:eastAsia="zh-CN"/>
        </w:rPr>
        <w:t>磋商</w:t>
      </w:r>
      <w:r>
        <w:rPr>
          <w:rStyle w:val="22"/>
          <w:rFonts w:hint="eastAsia" w:ascii="微软雅黑" w:hAnsi="微软雅黑" w:eastAsia="微软雅黑" w:cs="宋体"/>
        </w:rPr>
        <w:t>有效期</w:t>
      </w:r>
      <w:r>
        <w:tab/>
      </w:r>
      <w:r>
        <w:fldChar w:fldCharType="begin"/>
      </w:r>
      <w:r>
        <w:instrText xml:space="preserve"> PAGEREF _Toc508133965 \h </w:instrText>
      </w:r>
      <w:r>
        <w:fldChar w:fldCharType="separate"/>
      </w:r>
      <w:r>
        <w:t>11</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"_Toc508133966" </w:instrText>
      </w:r>
      <w:r>
        <w:fldChar w:fldCharType="separate"/>
      </w:r>
      <w:r>
        <w:rPr>
          <w:rStyle w:val="22"/>
          <w:rFonts w:ascii="微软雅黑" w:hAnsi="微软雅黑" w:eastAsia="微软雅黑" w:cs="宋体"/>
        </w:rPr>
        <w:t xml:space="preserve">6. </w:t>
      </w:r>
      <w:r>
        <w:rPr>
          <w:rStyle w:val="22"/>
          <w:rFonts w:hint="eastAsia" w:ascii="微软雅黑" w:hAnsi="微软雅黑" w:eastAsia="微软雅黑" w:cs="宋体"/>
          <w:lang w:eastAsia="zh-CN"/>
        </w:rPr>
        <w:t>响应文件</w:t>
      </w:r>
      <w:r>
        <w:rPr>
          <w:rStyle w:val="22"/>
          <w:rFonts w:hint="eastAsia" w:ascii="微软雅黑" w:hAnsi="微软雅黑" w:eastAsia="微软雅黑" w:cs="宋体"/>
        </w:rPr>
        <w:t>的印制和签署</w:t>
      </w:r>
      <w:r>
        <w:tab/>
      </w:r>
      <w:r>
        <w:fldChar w:fldCharType="begin"/>
      </w:r>
      <w:r>
        <w:instrText xml:space="preserve"> PAGEREF _Toc508133966 \h </w:instrText>
      </w:r>
      <w:r>
        <w:fldChar w:fldCharType="separate"/>
      </w:r>
      <w:r>
        <w:t>11</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"_Toc508133967" </w:instrText>
      </w:r>
      <w:r>
        <w:fldChar w:fldCharType="separate"/>
      </w:r>
      <w:r>
        <w:rPr>
          <w:rStyle w:val="22"/>
          <w:rFonts w:hint="eastAsia" w:ascii="微软雅黑" w:hAnsi="微软雅黑" w:eastAsia="微软雅黑" w:cs="宋体"/>
        </w:rPr>
        <w:t>三、签订及履行合同和验收</w:t>
      </w:r>
      <w:r>
        <w:tab/>
      </w:r>
      <w:r>
        <w:fldChar w:fldCharType="begin"/>
      </w:r>
      <w:r>
        <w:instrText xml:space="preserve"> PAGEREF _Toc508133967 \h </w:instrText>
      </w:r>
      <w:r>
        <w:fldChar w:fldCharType="separate"/>
      </w:r>
      <w:r>
        <w:t>13</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"_Toc508133968" </w:instrText>
      </w:r>
      <w:r>
        <w:fldChar w:fldCharType="separate"/>
      </w:r>
      <w:r>
        <w:rPr>
          <w:rStyle w:val="22"/>
          <w:rFonts w:ascii="微软雅黑" w:hAnsi="微软雅黑" w:eastAsia="微软雅黑" w:cs="宋体"/>
        </w:rPr>
        <w:t xml:space="preserve">1. </w:t>
      </w:r>
      <w:r>
        <w:rPr>
          <w:rStyle w:val="22"/>
          <w:rFonts w:hint="eastAsia" w:ascii="微软雅黑" w:hAnsi="微软雅黑" w:eastAsia="微软雅黑" w:cs="宋体"/>
        </w:rPr>
        <w:t>签订合同</w:t>
      </w:r>
      <w:r>
        <w:tab/>
      </w:r>
      <w:r>
        <w:fldChar w:fldCharType="begin"/>
      </w:r>
      <w:r>
        <w:instrText xml:space="preserve"> PAGEREF _Toc508133968 \h </w:instrText>
      </w:r>
      <w:r>
        <w:fldChar w:fldCharType="separate"/>
      </w:r>
      <w:r>
        <w:t>13</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"_Toc508133969" </w:instrText>
      </w:r>
      <w:r>
        <w:fldChar w:fldCharType="separate"/>
      </w:r>
      <w:r>
        <w:rPr>
          <w:rStyle w:val="22"/>
          <w:rFonts w:ascii="微软雅黑" w:hAnsi="微软雅黑" w:eastAsia="微软雅黑" w:cs="宋体"/>
        </w:rPr>
        <w:t xml:space="preserve">2. </w:t>
      </w:r>
      <w:r>
        <w:rPr>
          <w:rStyle w:val="22"/>
          <w:rFonts w:hint="eastAsia" w:ascii="微软雅黑" w:hAnsi="微软雅黑" w:eastAsia="微软雅黑" w:cs="宋体"/>
          <w:lang w:eastAsia="zh-CN"/>
        </w:rPr>
        <w:t>采购人</w:t>
      </w:r>
      <w:r>
        <w:rPr>
          <w:rStyle w:val="22"/>
          <w:rFonts w:hint="eastAsia" w:ascii="微软雅黑" w:hAnsi="微软雅黑" w:eastAsia="微软雅黑" w:cs="宋体"/>
        </w:rPr>
        <w:t>增加合同标的权利</w:t>
      </w:r>
      <w:r>
        <w:tab/>
      </w:r>
      <w:r>
        <w:fldChar w:fldCharType="begin"/>
      </w:r>
      <w:r>
        <w:instrText xml:space="preserve"> PAGEREF _Toc508133969 \h </w:instrText>
      </w:r>
      <w:r>
        <w:fldChar w:fldCharType="separate"/>
      </w:r>
      <w:r>
        <w:t>13</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"_Toc508133970" </w:instrText>
      </w:r>
      <w:r>
        <w:fldChar w:fldCharType="separate"/>
      </w:r>
      <w:r>
        <w:rPr>
          <w:rStyle w:val="22"/>
          <w:rFonts w:ascii="微软雅黑" w:hAnsi="微软雅黑" w:eastAsia="微软雅黑" w:cs="宋体"/>
        </w:rPr>
        <w:t xml:space="preserve">3. </w:t>
      </w:r>
      <w:r>
        <w:rPr>
          <w:rStyle w:val="22"/>
          <w:rFonts w:hint="eastAsia" w:ascii="微软雅黑" w:hAnsi="微软雅黑" w:eastAsia="微软雅黑" w:cs="宋体"/>
        </w:rPr>
        <w:t>履行合同</w:t>
      </w:r>
      <w:r>
        <w:tab/>
      </w:r>
      <w:r>
        <w:fldChar w:fldCharType="begin"/>
      </w:r>
      <w:r>
        <w:instrText xml:space="preserve"> PAGEREF _Toc508133970 \h </w:instrText>
      </w:r>
      <w:r>
        <w:fldChar w:fldCharType="separate"/>
      </w:r>
      <w:r>
        <w:t>13</w:t>
      </w:r>
      <w:r>
        <w:fldChar w:fldCharType="end"/>
      </w:r>
      <w:r>
        <w:fldChar w:fldCharType="end"/>
      </w:r>
    </w:p>
    <w:p>
      <w:pPr>
        <w:pStyle w:val="11"/>
        <w:tabs>
          <w:tab w:val="right" w:leader="dot" w:pos="8949"/>
        </w:tabs>
        <w:rPr>
          <w:rFonts w:asciiTheme="minorHAnsi" w:hAnsiTheme="minorHAnsi" w:eastAsiaTheme="minorEastAsia" w:cstheme="minorBidi"/>
          <w:kern w:val="2"/>
          <w:sz w:val="21"/>
        </w:rPr>
      </w:pPr>
      <w:r>
        <w:fldChar w:fldCharType="begin"/>
      </w:r>
      <w:r>
        <w:instrText xml:space="preserve"> HYPERLINK \l "_Toc508133971" </w:instrText>
      </w:r>
      <w:r>
        <w:fldChar w:fldCharType="separate"/>
      </w:r>
      <w:r>
        <w:rPr>
          <w:rStyle w:val="22"/>
          <w:rFonts w:ascii="微软雅黑" w:hAnsi="微软雅黑" w:eastAsia="微软雅黑" w:cs="宋体"/>
        </w:rPr>
        <w:t xml:space="preserve">4. </w:t>
      </w:r>
      <w:r>
        <w:rPr>
          <w:rStyle w:val="22"/>
          <w:rFonts w:hint="eastAsia" w:ascii="微软雅黑" w:hAnsi="微软雅黑" w:eastAsia="微软雅黑" w:cs="宋体"/>
        </w:rPr>
        <w:t>验收</w:t>
      </w:r>
      <w:r>
        <w:tab/>
      </w:r>
      <w:r>
        <w:fldChar w:fldCharType="begin"/>
      </w:r>
      <w:r>
        <w:instrText xml:space="preserve"> PAGEREF _Toc508133971 \h </w:instrText>
      </w:r>
      <w:r>
        <w:fldChar w:fldCharType="separate"/>
      </w:r>
      <w:r>
        <w:t>13</w:t>
      </w:r>
      <w:r>
        <w:fldChar w:fldCharType="end"/>
      </w:r>
      <w:r>
        <w:fldChar w:fldCharType="end"/>
      </w:r>
    </w:p>
    <w:p>
      <w:pPr>
        <w:pStyle w:val="16"/>
        <w:tabs>
          <w:tab w:val="right" w:leader="dot" w:pos="8949"/>
        </w:tabs>
        <w:rPr>
          <w:rFonts w:asciiTheme="minorHAnsi" w:hAnsiTheme="minorHAnsi" w:eastAsiaTheme="minorEastAsia" w:cstheme="minorBidi"/>
          <w:kern w:val="2"/>
          <w:sz w:val="21"/>
        </w:rPr>
      </w:pPr>
      <w:r>
        <w:fldChar w:fldCharType="begin"/>
      </w:r>
      <w:r>
        <w:instrText xml:space="preserve"> HYPERLINK \l "_Toc508133972" </w:instrText>
      </w:r>
      <w:r>
        <w:fldChar w:fldCharType="separate"/>
      </w:r>
      <w:r>
        <w:rPr>
          <w:rStyle w:val="22"/>
          <w:rFonts w:hint="eastAsia" w:ascii="微软雅黑" w:hAnsi="微软雅黑" w:eastAsia="微软雅黑"/>
        </w:rPr>
        <w:t>第三章</w:t>
      </w:r>
      <w:r>
        <w:rPr>
          <w:rStyle w:val="22"/>
          <w:rFonts w:ascii="微软雅黑" w:hAnsi="微软雅黑" w:eastAsia="微软雅黑"/>
        </w:rPr>
        <w:t xml:space="preserve"> </w:t>
      </w:r>
      <w:r>
        <w:rPr>
          <w:rStyle w:val="22"/>
          <w:rFonts w:hint="eastAsia" w:ascii="微软雅黑" w:hAnsi="微软雅黑" w:eastAsia="微软雅黑"/>
          <w:lang w:eastAsia="zh-CN"/>
        </w:rPr>
        <w:t>响应文件</w:t>
      </w:r>
      <w:r>
        <w:rPr>
          <w:rStyle w:val="22"/>
          <w:rFonts w:hint="eastAsia" w:ascii="微软雅黑" w:hAnsi="微软雅黑" w:eastAsia="微软雅黑"/>
        </w:rPr>
        <w:t>格式</w:t>
      </w:r>
      <w:r>
        <w:tab/>
      </w:r>
      <w:r>
        <w:fldChar w:fldCharType="begin"/>
      </w:r>
      <w:r>
        <w:instrText xml:space="preserve"> PAGEREF _Toc508133972 \h </w:instrText>
      </w:r>
      <w:r>
        <w:fldChar w:fldCharType="separate"/>
      </w:r>
      <w:r>
        <w:t>14</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"_Toc508133973" </w:instrText>
      </w:r>
      <w:r>
        <w:fldChar w:fldCharType="separate"/>
      </w:r>
      <w:r>
        <w:rPr>
          <w:rStyle w:val="22"/>
          <w:rFonts w:hint="eastAsia" w:ascii="微软雅黑" w:hAnsi="微软雅黑" w:eastAsia="微软雅黑" w:cs="宋体"/>
        </w:rPr>
        <w:t>一、</w:t>
      </w:r>
      <w:r>
        <w:rPr>
          <w:rStyle w:val="22"/>
          <w:rFonts w:hint="eastAsia" w:ascii="微软雅黑" w:hAnsi="微软雅黑" w:eastAsia="微软雅黑" w:cs="宋体"/>
          <w:lang w:eastAsia="zh-CN"/>
        </w:rPr>
        <w:t>磋商</w:t>
      </w:r>
      <w:r>
        <w:rPr>
          <w:rStyle w:val="22"/>
          <w:rFonts w:hint="eastAsia" w:ascii="微软雅黑" w:hAnsi="微软雅黑" w:eastAsia="微软雅黑" w:cs="宋体"/>
        </w:rPr>
        <w:t>函</w:t>
      </w:r>
      <w:r>
        <w:tab/>
      </w:r>
      <w:r>
        <w:fldChar w:fldCharType="begin"/>
      </w:r>
      <w:r>
        <w:instrText xml:space="preserve"> PAGEREF _Toc508133973 \h </w:instrText>
      </w:r>
      <w:r>
        <w:fldChar w:fldCharType="separate"/>
      </w:r>
      <w:r>
        <w:t>14</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"_Toc508133974" </w:instrText>
      </w:r>
      <w:r>
        <w:fldChar w:fldCharType="separate"/>
      </w:r>
      <w:r>
        <w:rPr>
          <w:rStyle w:val="22"/>
          <w:rFonts w:hint="eastAsia" w:ascii="微软雅黑" w:hAnsi="微软雅黑" w:eastAsia="微软雅黑" w:cs="宋体"/>
        </w:rPr>
        <w:t>二、法定代表人授权书</w:t>
      </w:r>
      <w:r>
        <w:tab/>
      </w:r>
      <w:r>
        <w:fldChar w:fldCharType="begin"/>
      </w:r>
      <w:r>
        <w:instrText xml:space="preserve"> PAGEREF _Toc508133974 \h </w:instrText>
      </w:r>
      <w:r>
        <w:fldChar w:fldCharType="separate"/>
      </w:r>
      <w:r>
        <w:t>15</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"_Toc508133975" </w:instrText>
      </w:r>
      <w:r>
        <w:fldChar w:fldCharType="separate"/>
      </w:r>
      <w:r>
        <w:rPr>
          <w:rStyle w:val="22"/>
          <w:rFonts w:hint="eastAsia" w:ascii="微软雅黑" w:hAnsi="微软雅黑" w:eastAsia="微软雅黑" w:cs="宋体"/>
        </w:rPr>
        <w:t>三、报价总表</w:t>
      </w:r>
      <w:r>
        <w:tab/>
      </w:r>
      <w:r>
        <w:fldChar w:fldCharType="begin"/>
      </w:r>
      <w:r>
        <w:instrText xml:space="preserve"> PAGEREF _Toc508133975 \h </w:instrText>
      </w:r>
      <w:r>
        <w:fldChar w:fldCharType="separate"/>
      </w:r>
      <w:r>
        <w:t>16</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"_Toc508133976" </w:instrText>
      </w:r>
      <w:r>
        <w:fldChar w:fldCharType="separate"/>
      </w:r>
      <w:r>
        <w:rPr>
          <w:rStyle w:val="22"/>
          <w:rFonts w:hint="eastAsia" w:ascii="微软雅黑" w:hAnsi="微软雅黑" w:eastAsia="微软雅黑" w:cs="宋体"/>
        </w:rPr>
        <w:t>四、分项报价明细表</w:t>
      </w:r>
      <w:r>
        <w:tab/>
      </w:r>
      <w:r>
        <w:fldChar w:fldCharType="begin"/>
      </w:r>
      <w:r>
        <w:instrText xml:space="preserve"> PAGEREF _Toc508133976 \h </w:instrText>
      </w:r>
      <w:r>
        <w:fldChar w:fldCharType="separate"/>
      </w:r>
      <w:r>
        <w:t>17</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"_Toc508133977" </w:instrText>
      </w:r>
      <w:r>
        <w:fldChar w:fldCharType="separate"/>
      </w:r>
      <w:r>
        <w:rPr>
          <w:rStyle w:val="22"/>
          <w:rFonts w:hint="eastAsia" w:ascii="微软雅黑" w:hAnsi="微软雅黑" w:eastAsia="微软雅黑" w:cs="宋体"/>
        </w:rPr>
        <w:t>五、</w:t>
      </w:r>
      <w:r>
        <w:rPr>
          <w:rStyle w:val="22"/>
          <w:rFonts w:hint="eastAsia" w:ascii="微软雅黑" w:hAnsi="微软雅黑" w:eastAsia="微软雅黑" w:cs="宋体"/>
          <w:lang w:eastAsia="zh-CN"/>
        </w:rPr>
        <w:t>申请人</w:t>
      </w:r>
      <w:r>
        <w:rPr>
          <w:rStyle w:val="22"/>
          <w:rFonts w:hint="eastAsia" w:ascii="微软雅黑" w:hAnsi="微软雅黑" w:eastAsia="微软雅黑" w:cs="宋体"/>
        </w:rPr>
        <w:t>基本情况表</w:t>
      </w:r>
      <w:r>
        <w:tab/>
      </w:r>
      <w:r>
        <w:fldChar w:fldCharType="begin"/>
      </w:r>
      <w:r>
        <w:instrText xml:space="preserve"> PAGEREF _Toc508133977 \h </w:instrText>
      </w:r>
      <w:r>
        <w:fldChar w:fldCharType="separate"/>
      </w:r>
      <w:r>
        <w:t>18</w:t>
      </w:r>
      <w:r>
        <w:fldChar w:fldCharType="end"/>
      </w:r>
      <w:r>
        <w:fldChar w:fldCharType="end"/>
      </w:r>
    </w:p>
    <w:p>
      <w:pPr>
        <w:pStyle w:val="16"/>
        <w:tabs>
          <w:tab w:val="right" w:leader="dot" w:pos="8949"/>
        </w:tabs>
        <w:rPr>
          <w:rFonts w:asciiTheme="minorHAnsi" w:hAnsiTheme="minorHAnsi" w:eastAsiaTheme="minorEastAsia" w:cstheme="minorBidi"/>
          <w:kern w:val="2"/>
          <w:sz w:val="21"/>
        </w:rPr>
      </w:pPr>
      <w:r>
        <w:fldChar w:fldCharType="begin"/>
      </w:r>
      <w:r>
        <w:instrText xml:space="preserve"> HYPERLINK \l "_Toc508133978" </w:instrText>
      </w:r>
      <w:r>
        <w:fldChar w:fldCharType="separate"/>
      </w:r>
      <w:r>
        <w:rPr>
          <w:rStyle w:val="22"/>
          <w:rFonts w:hint="eastAsia" w:ascii="微软雅黑" w:hAnsi="微软雅黑" w:eastAsia="微软雅黑"/>
        </w:rPr>
        <w:t>第四章</w:t>
      </w:r>
      <w:r>
        <w:rPr>
          <w:rStyle w:val="22"/>
          <w:rFonts w:ascii="微软雅黑" w:hAnsi="微软雅黑" w:eastAsia="微软雅黑"/>
        </w:rPr>
        <w:t xml:space="preserve"> </w:t>
      </w:r>
      <w:r>
        <w:rPr>
          <w:rStyle w:val="22"/>
          <w:rFonts w:hint="eastAsia" w:ascii="微软雅黑" w:hAnsi="微软雅黑" w:eastAsia="微软雅黑"/>
        </w:rPr>
        <w:t>项目技术要求</w:t>
      </w:r>
      <w:r>
        <w:tab/>
      </w:r>
      <w:r>
        <w:fldChar w:fldCharType="begin"/>
      </w:r>
      <w:r>
        <w:instrText xml:space="preserve"> PAGEREF _Toc508133978 \h </w:instrText>
      </w:r>
      <w:r>
        <w:fldChar w:fldCharType="separate"/>
      </w:r>
      <w:r>
        <w:t>19</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"_Toc508133979" </w:instrText>
      </w:r>
      <w:r>
        <w:fldChar w:fldCharType="separate"/>
      </w:r>
      <w:r>
        <w:rPr>
          <w:rStyle w:val="22"/>
          <w:rFonts w:hint="eastAsia" w:ascii="微软雅黑" w:hAnsi="微软雅黑" w:eastAsia="微软雅黑" w:cs="宋体"/>
        </w:rPr>
        <w:t>一、项目背景</w:t>
      </w:r>
      <w:r>
        <w:tab/>
      </w:r>
      <w:r>
        <w:fldChar w:fldCharType="begin"/>
      </w:r>
      <w:r>
        <w:instrText xml:space="preserve"> PAGEREF _Toc508133979 \h </w:instrText>
      </w:r>
      <w:r>
        <w:fldChar w:fldCharType="separate"/>
      </w:r>
      <w:r>
        <w:t>19</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"_Toc508133980" </w:instrText>
      </w:r>
      <w:r>
        <w:fldChar w:fldCharType="separate"/>
      </w:r>
      <w:r>
        <w:rPr>
          <w:rStyle w:val="22"/>
          <w:rFonts w:hint="eastAsia" w:ascii="微软雅黑" w:hAnsi="微软雅黑" w:eastAsia="微软雅黑" w:cs="宋体"/>
        </w:rPr>
        <w:t>二、建设原则</w:t>
      </w:r>
      <w:r>
        <w:tab/>
      </w:r>
      <w:r>
        <w:fldChar w:fldCharType="begin"/>
      </w:r>
      <w:r>
        <w:instrText xml:space="preserve"> PAGEREF _Toc508133980 \h </w:instrText>
      </w:r>
      <w:r>
        <w:fldChar w:fldCharType="separate"/>
      </w:r>
      <w:r>
        <w:t>19</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"_Toc508133981" </w:instrText>
      </w:r>
      <w:r>
        <w:fldChar w:fldCharType="separate"/>
      </w:r>
      <w:r>
        <w:rPr>
          <w:rStyle w:val="22"/>
          <w:rFonts w:hint="eastAsia" w:ascii="微软雅黑" w:hAnsi="微软雅黑" w:eastAsia="微软雅黑" w:cs="宋体"/>
        </w:rPr>
        <w:t>三、项目建设的工期</w:t>
      </w:r>
      <w:r>
        <w:tab/>
      </w:r>
      <w:r>
        <w:fldChar w:fldCharType="begin"/>
      </w:r>
      <w:r>
        <w:instrText xml:space="preserve"> PAGEREF _Toc508133981 \h </w:instrText>
      </w:r>
      <w:r>
        <w:fldChar w:fldCharType="separate"/>
      </w:r>
      <w:r>
        <w:t>20</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"_Toc508133982" </w:instrText>
      </w:r>
      <w:r>
        <w:fldChar w:fldCharType="separate"/>
      </w:r>
      <w:r>
        <w:rPr>
          <w:rStyle w:val="22"/>
          <w:rFonts w:hint="eastAsia" w:ascii="微软雅黑" w:hAnsi="微软雅黑" w:eastAsia="微软雅黑" w:cs="宋体"/>
        </w:rPr>
        <w:t>四、技术需求</w:t>
      </w:r>
      <w:r>
        <w:tab/>
      </w:r>
      <w:r>
        <w:fldChar w:fldCharType="begin"/>
      </w:r>
      <w:r>
        <w:instrText xml:space="preserve"> PAGEREF _Toc508133982 \h </w:instrText>
      </w:r>
      <w:r>
        <w:fldChar w:fldCharType="separate"/>
      </w:r>
      <w:r>
        <w:t>20</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"_Toc508133983" </w:instrText>
      </w:r>
      <w:r>
        <w:fldChar w:fldCharType="separate"/>
      </w:r>
      <w:r>
        <w:rPr>
          <w:rStyle w:val="22"/>
          <w:rFonts w:hint="eastAsia" w:ascii="微软雅黑" w:hAnsi="微软雅黑" w:eastAsia="微软雅黑" w:cs="宋体"/>
        </w:rPr>
        <w:t>五、项目建设内容</w:t>
      </w:r>
      <w:r>
        <w:tab/>
      </w:r>
      <w:r>
        <w:fldChar w:fldCharType="begin"/>
      </w:r>
      <w:r>
        <w:instrText xml:space="preserve"> PAGEREF _Toc508133983 \h </w:instrText>
      </w:r>
      <w:r>
        <w:fldChar w:fldCharType="separate"/>
      </w:r>
      <w:r>
        <w:t>22</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"_Toc508133984" </w:instrText>
      </w:r>
      <w:r>
        <w:fldChar w:fldCharType="separate"/>
      </w:r>
      <w:r>
        <w:rPr>
          <w:rStyle w:val="22"/>
          <w:rFonts w:hint="eastAsia" w:ascii="微软雅黑" w:hAnsi="微软雅黑" w:eastAsia="微软雅黑" w:cs="宋体"/>
        </w:rPr>
        <w:t>六、功能需求描述</w:t>
      </w:r>
      <w:r>
        <w:tab/>
      </w:r>
      <w:r>
        <w:fldChar w:fldCharType="begin"/>
      </w:r>
      <w:r>
        <w:instrText xml:space="preserve"> PAGEREF _Toc508133984 \h </w:instrText>
      </w:r>
      <w:r>
        <w:fldChar w:fldCharType="separate"/>
      </w:r>
      <w:r>
        <w:t>23</w:t>
      </w:r>
      <w:r>
        <w:fldChar w:fldCharType="end"/>
      </w:r>
      <w:r>
        <w:fldChar w:fldCharType="end"/>
      </w:r>
    </w:p>
    <w:p>
      <w:pPr>
        <w:pStyle w:val="16"/>
        <w:tabs>
          <w:tab w:val="right" w:leader="dot" w:pos="8949"/>
        </w:tabs>
        <w:rPr>
          <w:rFonts w:asciiTheme="minorHAnsi" w:hAnsiTheme="minorHAnsi" w:eastAsiaTheme="minorEastAsia" w:cstheme="minorBidi"/>
          <w:kern w:val="2"/>
          <w:sz w:val="21"/>
        </w:rPr>
      </w:pPr>
      <w:r>
        <w:fldChar w:fldCharType="begin"/>
      </w:r>
      <w:r>
        <w:instrText xml:space="preserve"> HYPERLINK \l "_Toc508133985" </w:instrText>
      </w:r>
      <w:r>
        <w:fldChar w:fldCharType="separate"/>
      </w:r>
      <w:r>
        <w:rPr>
          <w:rStyle w:val="22"/>
          <w:rFonts w:hint="eastAsia" w:ascii="微软雅黑" w:hAnsi="微软雅黑" w:eastAsia="微软雅黑"/>
        </w:rPr>
        <w:t>第五章</w:t>
      </w:r>
      <w:r>
        <w:rPr>
          <w:rStyle w:val="22"/>
          <w:rFonts w:ascii="微软雅黑" w:hAnsi="微软雅黑" w:eastAsia="微软雅黑"/>
        </w:rPr>
        <w:t xml:space="preserve">  </w:t>
      </w:r>
      <w:r>
        <w:rPr>
          <w:rStyle w:val="22"/>
          <w:rFonts w:hint="eastAsia" w:ascii="微软雅黑" w:hAnsi="微软雅黑" w:eastAsia="微软雅黑"/>
        </w:rPr>
        <w:t>磋商程序、方法、标准</w:t>
      </w:r>
      <w:r>
        <w:tab/>
      </w:r>
      <w:r>
        <w:fldChar w:fldCharType="begin"/>
      </w:r>
      <w:r>
        <w:instrText xml:space="preserve"> PAGEREF _Toc508133985 \h </w:instrText>
      </w:r>
      <w:r>
        <w:fldChar w:fldCharType="separate"/>
      </w:r>
      <w:r>
        <w:t>32</w:t>
      </w:r>
      <w:r>
        <w:fldChar w:fldCharType="end"/>
      </w:r>
      <w:r>
        <w:fldChar w:fldCharType="end"/>
      </w:r>
    </w:p>
    <w:p>
      <w:pPr>
        <w:pStyle w:val="17"/>
        <w:tabs>
          <w:tab w:val="right" w:leader="dot" w:pos="8949"/>
        </w:tabs>
        <w:rPr>
          <w:rFonts w:ascii="微软雅黑" w:hAnsi="微软雅黑" w:eastAsia="微软雅黑" w:cs="宋体"/>
          <w:color w:val="000000"/>
        </w:rPr>
        <w:sectPr>
          <w:headerReference r:id="rId7" w:type="first"/>
          <w:footerReference r:id="rId10" w:type="first"/>
          <w:headerReference r:id="rId5" w:type="default"/>
          <w:footerReference r:id="rId8" w:type="default"/>
          <w:headerReference r:id="rId6" w:type="even"/>
          <w:footerReference r:id="rId9" w:type="even"/>
          <w:pgSz w:w="11907" w:h="16840"/>
          <w:pgMar w:top="1440" w:right="1474" w:bottom="1440" w:left="1474" w:header="851" w:footer="992" w:gutter="0"/>
          <w:cols w:space="720" w:num="1"/>
          <w:docGrid w:type="lines" w:linePitch="312" w:charSpace="0"/>
        </w:sectPr>
      </w:pPr>
      <w:r>
        <w:rPr>
          <w:rFonts w:hint="eastAsia" w:ascii="微软雅黑" w:hAnsi="微软雅黑" w:eastAsia="微软雅黑" w:cs="宋体"/>
          <w:bCs/>
          <w:color w:val="000000"/>
          <w:lang w:val="zh-CN"/>
        </w:rPr>
        <w:fldChar w:fldCharType="end"/>
      </w:r>
    </w:p>
    <w:p>
      <w:pPr>
        <w:pStyle w:val="2"/>
        <w:tabs>
          <w:tab w:val="left" w:pos="1560"/>
          <w:tab w:val="left" w:pos="2268"/>
        </w:tabs>
        <w:spacing w:line="360" w:lineRule="exact"/>
        <w:jc w:val="center"/>
        <w:rPr>
          <w:rFonts w:ascii="微软雅黑" w:hAnsi="微软雅黑" w:eastAsia="微软雅黑" w:cs="宋体"/>
          <w:bCs w:val="0"/>
          <w:color w:val="000000"/>
          <w:sz w:val="36"/>
        </w:rPr>
      </w:pPr>
      <w:bookmarkStart w:id="2" w:name="_Toc508133957"/>
      <w:r>
        <w:rPr>
          <w:rFonts w:hint="eastAsia" w:ascii="微软雅黑" w:hAnsi="微软雅黑" w:eastAsia="微软雅黑" w:cs="宋体"/>
          <w:bCs w:val="0"/>
          <w:color w:val="000000"/>
          <w:sz w:val="36"/>
        </w:rPr>
        <w:t xml:space="preserve">第一章  </w:t>
      </w:r>
      <w:r>
        <w:rPr>
          <w:rFonts w:hint="eastAsia" w:ascii="微软雅黑" w:hAnsi="微软雅黑" w:eastAsia="微软雅黑" w:cs="宋体"/>
          <w:bCs w:val="0"/>
          <w:color w:val="000000"/>
          <w:sz w:val="36"/>
          <w:lang w:val="en-US" w:eastAsia="zh-CN"/>
        </w:rPr>
        <w:t>磋商</w:t>
      </w:r>
      <w:r>
        <w:rPr>
          <w:rFonts w:hint="eastAsia" w:ascii="微软雅黑" w:hAnsi="微软雅黑" w:eastAsia="微软雅黑" w:cs="宋体"/>
          <w:bCs w:val="0"/>
          <w:color w:val="000000"/>
          <w:sz w:val="36"/>
        </w:rPr>
        <w:t>邀请</w:t>
      </w:r>
      <w:bookmarkEnd w:id="2"/>
    </w:p>
    <w:p>
      <w:pPr>
        <w:ind w:firstLine="420"/>
        <w:rPr>
          <w:rFonts w:ascii="微软雅黑" w:hAnsi="微软雅黑" w:eastAsia="微软雅黑" w:cs="宋体"/>
          <w:color w:val="000000"/>
          <w:sz w:val="24"/>
        </w:rPr>
      </w:pPr>
      <w:r>
        <w:rPr>
          <w:rFonts w:hint="eastAsia" w:ascii="微软雅黑" w:hAnsi="微软雅黑" w:eastAsia="微软雅黑" w:cs="宋体"/>
          <w:color w:val="000000"/>
          <w:sz w:val="24"/>
        </w:rPr>
        <w:t xml:space="preserve">  根据泸州兴阳投资集团有限公司信息化建设和加强内部管理的需要，拟对“集团综合办公管理平台系统”项目采取竞争性磋商方式实施采购，兹邀请符合本次</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要求的企业或公司参加本项目</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。具体事项如下：</w:t>
      </w:r>
    </w:p>
    <w:p>
      <w:pPr>
        <w:pStyle w:val="40"/>
        <w:numPr>
          <w:ilvl w:val="0"/>
          <w:numId w:val="1"/>
        </w:numPr>
        <w:spacing w:line="360" w:lineRule="auto"/>
        <w:ind w:firstLineChars="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lang w:eastAsia="zh-CN"/>
        </w:rPr>
        <w:t>采购</w:t>
      </w:r>
      <w:r>
        <w:rPr>
          <w:rFonts w:hint="eastAsia" w:ascii="微软雅黑" w:hAnsi="微软雅黑" w:eastAsia="微软雅黑" w:cs="宋体"/>
          <w:b/>
          <w:color w:val="000000"/>
          <w:sz w:val="28"/>
          <w:szCs w:val="28"/>
        </w:rPr>
        <w:t>项目内容</w:t>
      </w:r>
    </w:p>
    <w:p>
      <w:pPr>
        <w:pStyle w:val="40"/>
        <w:numPr>
          <w:ilvl w:val="0"/>
          <w:numId w:val="2"/>
        </w:numPr>
        <w:spacing w:line="360" w:lineRule="auto"/>
        <w:ind w:firstLineChars="0"/>
        <w:rPr>
          <w:rFonts w:hint="eastAsia" w:ascii="微软雅黑" w:hAnsi="微软雅黑" w:eastAsia="微软雅黑" w:cs="宋体"/>
          <w:color w:val="000000"/>
          <w:sz w:val="24"/>
        </w:rPr>
      </w:pP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项目：集团综合办公管理平台系统；</w:t>
      </w:r>
    </w:p>
    <w:p>
      <w:pPr>
        <w:pStyle w:val="40"/>
        <w:numPr>
          <w:ilvl w:val="0"/>
          <w:numId w:val="2"/>
        </w:numPr>
        <w:spacing w:line="360" w:lineRule="auto"/>
        <w:ind w:firstLineChars="0"/>
        <w:rPr>
          <w:rFonts w:hint="eastAsia" w:ascii="微软雅黑" w:hAnsi="微软雅黑" w:eastAsia="微软雅黑" w:cs="宋体"/>
          <w:color w:val="000000"/>
          <w:sz w:val="24"/>
        </w:rPr>
      </w:pP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方式：竞争性磋商；</w:t>
      </w:r>
    </w:p>
    <w:p>
      <w:pPr>
        <w:pStyle w:val="40"/>
        <w:numPr>
          <w:ilvl w:val="0"/>
          <w:numId w:val="2"/>
        </w:numPr>
        <w:spacing w:line="360" w:lineRule="auto"/>
        <w:ind w:firstLineChars="0"/>
        <w:rPr>
          <w:rFonts w:hint="eastAsia" w:ascii="微软雅黑" w:hAnsi="微软雅黑" w:eastAsia="微软雅黑" w:cs="宋体"/>
          <w:color w:val="000000"/>
          <w:sz w:val="24"/>
        </w:rPr>
      </w:pPr>
      <w:r>
        <w:rPr>
          <w:rFonts w:hint="eastAsia" w:ascii="微软雅黑" w:hAnsi="微软雅黑" w:eastAsia="微软雅黑" w:cs="宋体"/>
          <w:color w:val="000000"/>
          <w:sz w:val="24"/>
        </w:rPr>
        <w:t>资金来源：自筹资金。</w:t>
      </w:r>
    </w:p>
    <w:p>
      <w:pPr>
        <w:pStyle w:val="40"/>
        <w:numPr>
          <w:ilvl w:val="0"/>
          <w:numId w:val="2"/>
        </w:numPr>
        <w:spacing w:line="360" w:lineRule="auto"/>
        <w:ind w:firstLineChars="0"/>
        <w:rPr>
          <w:rFonts w:hint="eastAsia" w:ascii="微软雅黑" w:hAnsi="微软雅黑" w:eastAsia="微软雅黑" w:cs="宋体"/>
          <w:color w:val="000000"/>
          <w:sz w:val="24"/>
        </w:rPr>
      </w:pPr>
      <w:r>
        <w:rPr>
          <w:rFonts w:hint="eastAsia" w:ascii="微软雅黑" w:hAnsi="微软雅黑" w:eastAsia="微软雅黑" w:cs="宋体"/>
          <w:color w:val="000000"/>
          <w:sz w:val="24"/>
          <w:lang w:val="en-US" w:eastAsia="zh-CN"/>
        </w:rPr>
        <w:t>采购</w:t>
      </w:r>
      <w:r>
        <w:rPr>
          <w:rFonts w:ascii="微软雅黑" w:hAnsi="微软雅黑" w:eastAsia="微软雅黑" w:cs="宋体"/>
          <w:color w:val="000000"/>
          <w:sz w:val="24"/>
        </w:rPr>
        <w:t>内容</w:t>
      </w:r>
      <w:r>
        <w:rPr>
          <w:rFonts w:hint="eastAsia" w:ascii="微软雅黑" w:hAnsi="微软雅黑" w:eastAsia="微软雅黑" w:cs="宋体"/>
          <w:color w:val="000000"/>
          <w:sz w:val="24"/>
        </w:rPr>
        <w:t>：</w:t>
      </w:r>
    </w:p>
    <w:p>
      <w:pPr>
        <w:pStyle w:val="40"/>
        <w:spacing w:line="360" w:lineRule="auto"/>
        <w:ind w:left="969" w:firstLine="0" w:firstLineChars="0"/>
        <w:rPr>
          <w:rFonts w:hint="eastAsia" w:ascii="微软雅黑" w:hAnsi="微软雅黑" w:eastAsia="微软雅黑" w:cs="宋体"/>
          <w:color w:val="000000"/>
          <w:sz w:val="24"/>
        </w:rPr>
      </w:pPr>
      <w:r>
        <w:rPr>
          <w:rFonts w:hint="eastAsia" w:ascii="微软雅黑" w:hAnsi="微软雅黑" w:eastAsia="微软雅黑" w:cs="宋体"/>
          <w:color w:val="000000"/>
          <w:sz w:val="24"/>
        </w:rPr>
        <w:t>泸州兴阳投资集团有限公司依据集团公司整体的战略框架，计划搭建一个高速、安全、稳定可靠、经济实用、方便操作的协同</w:t>
      </w:r>
      <w:r>
        <w:rPr>
          <w:rFonts w:ascii="微软雅黑" w:hAnsi="微软雅黑" w:eastAsia="微软雅黑" w:cs="宋体"/>
          <w:color w:val="000000"/>
          <w:sz w:val="24"/>
        </w:rPr>
        <w:t>办公</w:t>
      </w:r>
      <w:r>
        <w:rPr>
          <w:rFonts w:hint="eastAsia" w:ascii="微软雅黑" w:hAnsi="微软雅黑" w:eastAsia="微软雅黑" w:cs="宋体"/>
          <w:color w:val="000000"/>
          <w:sz w:val="24"/>
        </w:rPr>
        <w:t>管理软件</w:t>
      </w:r>
      <w:r>
        <w:rPr>
          <w:rFonts w:ascii="微软雅黑" w:hAnsi="微软雅黑" w:eastAsia="微软雅黑" w:cs="宋体"/>
          <w:color w:val="000000"/>
          <w:sz w:val="24"/>
        </w:rPr>
        <w:t>平台</w:t>
      </w:r>
      <w:r>
        <w:rPr>
          <w:rFonts w:hint="eastAsia" w:ascii="微软雅黑" w:hAnsi="微软雅黑" w:eastAsia="微软雅黑" w:cs="宋体"/>
          <w:color w:val="000000"/>
          <w:sz w:val="24"/>
        </w:rPr>
        <w:t>，全面实现集团公司办公自动化、信息资源共享化、审批</w:t>
      </w:r>
      <w:r>
        <w:rPr>
          <w:rFonts w:ascii="微软雅黑" w:hAnsi="微软雅黑" w:eastAsia="微软雅黑" w:cs="宋体"/>
          <w:color w:val="000000"/>
          <w:sz w:val="24"/>
        </w:rPr>
        <w:t>移动化、</w:t>
      </w:r>
      <w:r>
        <w:rPr>
          <w:rFonts w:hint="eastAsia" w:ascii="微软雅黑" w:hAnsi="微软雅黑" w:eastAsia="微软雅黑" w:cs="宋体"/>
          <w:color w:val="000000"/>
          <w:sz w:val="24"/>
        </w:rPr>
        <w:t>决策智能化，从而推动公司职能转变和信息公开，提高工作效率，降低内部管理费用，增强公司的监管和服务能力。通过该项目的建设，进行构建公司内部门户，实现公司信息共享平台的搭建，建立统一的、基于角色的和个性化的信息访问、集成平台，为公司未来各类信息系统建设奠定良好的基础。公司充分考虑未来发展需要，按</w:t>
      </w:r>
      <w:r>
        <w:rPr>
          <w:rFonts w:hint="eastAsia" w:ascii="微软雅黑" w:hAnsi="微软雅黑" w:eastAsia="微软雅黑" w:cs="宋体"/>
          <w:color w:val="000000" w:themeColor="text1"/>
          <w:sz w:val="24"/>
          <w14:textFill>
            <w14:solidFill>
              <w14:schemeClr w14:val="tx1"/>
            </w14:solidFill>
          </w14:textFill>
        </w:rPr>
        <w:t>照统一规划、分步实施、逐步扩展的原则，要求确保系统的完整性</w:t>
      </w:r>
      <w:r>
        <w:rPr>
          <w:rFonts w:hint="eastAsia" w:ascii="微软雅黑" w:hAnsi="微软雅黑" w:eastAsia="微软雅黑" w:cs="宋体"/>
          <w:color w:val="000000" w:themeColor="text1"/>
          <w:sz w:val="24"/>
          <w:lang w:val="en-US" w:eastAsia="zh-CN"/>
          <w14:textFill>
            <w14:solidFill>
              <w14:schemeClr w14:val="tx1"/>
            </w14:solidFill>
          </w14:textFill>
        </w:rPr>
        <w:t>和安全性</w:t>
      </w:r>
      <w:r>
        <w:rPr>
          <w:rFonts w:hint="eastAsia" w:ascii="微软雅黑" w:hAnsi="微软雅黑" w:eastAsia="微软雅黑" w:cs="宋体"/>
          <w:color w:val="000000"/>
          <w:sz w:val="24"/>
        </w:rPr>
        <w:t>，构建开放性好、兼容性强的协同管理应用支撑平台。</w:t>
      </w:r>
    </w:p>
    <w:p>
      <w:pPr>
        <w:spacing w:after="156" w:afterLines="50" w:line="360" w:lineRule="auto"/>
        <w:ind w:firstLine="560" w:firstLineChars="200"/>
        <w:rPr>
          <w:rFonts w:ascii="微软雅黑" w:hAnsi="微软雅黑" w:eastAsia="微软雅黑" w:cs="宋体"/>
          <w:b/>
          <w:bCs/>
          <w:color w:val="000000"/>
          <w:sz w:val="28"/>
          <w:szCs w:val="28"/>
        </w:rPr>
      </w:pPr>
      <w:r>
        <w:rPr>
          <w:rFonts w:hint="eastAsia" w:ascii="微软雅黑" w:hAnsi="微软雅黑" w:eastAsia="微软雅黑" w:cs="宋体"/>
          <w:b/>
          <w:bCs/>
          <w:color w:val="000000"/>
          <w:sz w:val="28"/>
          <w:szCs w:val="28"/>
        </w:rPr>
        <w:t>二、</w:t>
      </w:r>
      <w:r>
        <w:rPr>
          <w:rFonts w:hint="eastAsia" w:ascii="微软雅黑" w:hAnsi="微软雅黑" w:eastAsia="微软雅黑" w:cs="宋体"/>
          <w:b/>
          <w:bCs/>
          <w:color w:val="000000"/>
          <w:sz w:val="28"/>
          <w:szCs w:val="28"/>
          <w:lang w:val="en-US" w:eastAsia="zh-CN"/>
        </w:rPr>
        <w:t>申请</w:t>
      </w:r>
      <w:r>
        <w:rPr>
          <w:rFonts w:hint="eastAsia" w:ascii="微软雅黑" w:hAnsi="微软雅黑" w:eastAsia="微软雅黑" w:cs="宋体"/>
          <w:b/>
          <w:bCs/>
          <w:color w:val="000000"/>
          <w:sz w:val="28"/>
          <w:szCs w:val="28"/>
        </w:rPr>
        <w:t>人应具备的资格条件</w:t>
      </w:r>
    </w:p>
    <w:p>
      <w:pPr>
        <w:pStyle w:val="27"/>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1、在中国境内注册的合法企业，符合国家有关法律、法规的要求；</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2、具有独立承担民事责任的能力；</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3、具有良好的商业信誉和健全的财务会计制度；</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4、具有履行合同所必须的设备和专业技术能力；</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5、具有依法缴纳税收和社会保障资金的良好记录；</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6、参加本次采购活动前三年内，在经营活动中没有重大违法违规记录；</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7、</w:t>
      </w:r>
      <w:r>
        <w:rPr>
          <w:rFonts w:hint="eastAsia" w:ascii="微软雅黑" w:hAnsi="微软雅黑" w:eastAsia="微软雅黑" w:cs="宋体"/>
          <w:color w:val="000000"/>
          <w:sz w:val="24"/>
          <w:lang w:eastAsia="zh-CN"/>
        </w:rPr>
        <w:t>申请人</w:t>
      </w:r>
      <w:r>
        <w:rPr>
          <w:rFonts w:ascii="微软雅黑" w:hAnsi="微软雅黑" w:eastAsia="微软雅黑" w:cs="宋体"/>
          <w:color w:val="000000"/>
          <w:sz w:val="24"/>
        </w:rPr>
        <w:t>必须是产品制造</w:t>
      </w:r>
      <w:r>
        <w:rPr>
          <w:rFonts w:hint="eastAsia" w:ascii="微软雅黑" w:hAnsi="微软雅黑" w:eastAsia="微软雅黑" w:cs="宋体"/>
          <w:color w:val="000000"/>
          <w:sz w:val="24"/>
        </w:rPr>
        <w:t>厂</w:t>
      </w:r>
      <w:r>
        <w:rPr>
          <w:rFonts w:ascii="微软雅黑" w:hAnsi="微软雅黑" w:eastAsia="微软雅黑" w:cs="宋体"/>
          <w:color w:val="000000"/>
          <w:sz w:val="24"/>
        </w:rPr>
        <w:t>商或由产品制造</w:t>
      </w:r>
      <w:r>
        <w:rPr>
          <w:rFonts w:hint="eastAsia" w:ascii="微软雅黑" w:hAnsi="微软雅黑" w:eastAsia="微软雅黑" w:cs="宋体"/>
          <w:color w:val="000000"/>
          <w:sz w:val="24"/>
        </w:rPr>
        <w:t>厂</w:t>
      </w:r>
      <w:r>
        <w:rPr>
          <w:rFonts w:ascii="微软雅黑" w:hAnsi="微软雅黑" w:eastAsia="微软雅黑" w:cs="宋体"/>
          <w:color w:val="000000"/>
          <w:sz w:val="24"/>
        </w:rPr>
        <w:t>商授权的经销商；</w:t>
      </w:r>
    </w:p>
    <w:p>
      <w:pPr>
        <w:pStyle w:val="27"/>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8、法律、行政法规规定的其他条件。</w:t>
      </w:r>
    </w:p>
    <w:p>
      <w:pPr>
        <w:spacing w:after="50" w:line="360" w:lineRule="auto"/>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三、</w:t>
      </w:r>
      <w:r>
        <w:rPr>
          <w:rFonts w:hint="eastAsia" w:ascii="微软雅黑" w:hAnsi="微软雅黑" w:eastAsia="微软雅黑" w:cs="宋体"/>
          <w:b/>
          <w:color w:val="000000"/>
          <w:sz w:val="28"/>
          <w:szCs w:val="28"/>
          <w:lang w:eastAsia="zh-CN"/>
        </w:rPr>
        <w:t>采购</w:t>
      </w:r>
      <w:r>
        <w:rPr>
          <w:rFonts w:hint="eastAsia" w:ascii="微软雅黑" w:hAnsi="微软雅黑" w:eastAsia="微软雅黑" w:cs="宋体"/>
          <w:b/>
          <w:color w:val="000000"/>
          <w:sz w:val="28"/>
          <w:szCs w:val="28"/>
        </w:rPr>
        <w:t>文件发售时间、地点</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u w:val="single"/>
        </w:rPr>
        <w:t xml:space="preserve">2018 </w:t>
      </w:r>
      <w:r>
        <w:rPr>
          <w:rFonts w:hint="eastAsia" w:ascii="微软雅黑" w:hAnsi="微软雅黑" w:eastAsia="微软雅黑" w:cs="宋体"/>
          <w:color w:val="000000"/>
          <w:sz w:val="24"/>
        </w:rPr>
        <w:t>年</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u w:val="single"/>
          <w:lang w:val="en-US" w:eastAsia="zh-CN"/>
        </w:rPr>
        <w:t>3</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月</w:t>
      </w:r>
      <w:r>
        <w:rPr>
          <w:rFonts w:hint="eastAsia" w:ascii="微软雅黑" w:hAnsi="微软雅黑" w:eastAsia="微软雅黑" w:cs="宋体"/>
          <w:color w:val="000000"/>
          <w:sz w:val="24"/>
          <w:u w:val="single"/>
          <w:lang w:val="en-US" w:eastAsia="zh-CN"/>
        </w:rPr>
        <w:t>29</w:t>
      </w:r>
      <w:r>
        <w:rPr>
          <w:rFonts w:hint="eastAsia" w:ascii="微软雅黑" w:hAnsi="微软雅黑" w:eastAsia="微软雅黑" w:cs="宋体"/>
          <w:color w:val="000000"/>
          <w:sz w:val="24"/>
        </w:rPr>
        <w:t>日9:00至</w:t>
      </w:r>
      <w:r>
        <w:rPr>
          <w:rFonts w:hint="eastAsia" w:ascii="微软雅黑" w:hAnsi="微软雅黑" w:eastAsia="微软雅黑" w:cs="宋体"/>
          <w:color w:val="000000"/>
          <w:sz w:val="24"/>
          <w:u w:val="single"/>
        </w:rPr>
        <w:t>2018</w:t>
      </w:r>
      <w:r>
        <w:rPr>
          <w:rFonts w:hint="eastAsia" w:ascii="微软雅黑" w:hAnsi="微软雅黑" w:eastAsia="微软雅黑" w:cs="宋体"/>
          <w:color w:val="000000"/>
          <w:sz w:val="24"/>
        </w:rPr>
        <w:t>年</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u w:val="single"/>
          <w:lang w:val="en-US" w:eastAsia="zh-CN"/>
        </w:rPr>
        <w:t>4</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月</w:t>
      </w:r>
      <w:r>
        <w:rPr>
          <w:rFonts w:hint="eastAsia" w:ascii="微软雅黑" w:hAnsi="微软雅黑" w:eastAsia="微软雅黑" w:cs="宋体"/>
          <w:color w:val="000000"/>
          <w:sz w:val="24"/>
          <w:u w:val="single"/>
          <w:lang w:val="en-US" w:eastAsia="zh-CN"/>
        </w:rPr>
        <w:t>4</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日</w:t>
      </w:r>
      <w:r>
        <w:rPr>
          <w:rFonts w:hint="eastAsia" w:ascii="微软雅黑" w:hAnsi="微软雅黑" w:eastAsia="微软雅黑" w:cs="宋体"/>
          <w:color w:val="000000"/>
          <w:sz w:val="24"/>
          <w:lang w:val="en-US" w:eastAsia="zh-CN"/>
        </w:rPr>
        <w:t>12</w:t>
      </w:r>
      <w:r>
        <w:rPr>
          <w:rFonts w:hint="eastAsia" w:ascii="微软雅黑" w:hAnsi="微软雅黑" w:eastAsia="微软雅黑" w:cs="宋体"/>
          <w:color w:val="000000"/>
          <w:sz w:val="24"/>
        </w:rPr>
        <w:t>:00（北京时间，法定节假日除外），泸州兴阳投资集团有限公司办公室。</w:t>
      </w:r>
    </w:p>
    <w:p>
      <w:pPr>
        <w:spacing w:after="50" w:line="360" w:lineRule="auto"/>
        <w:ind w:left="56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四、</w:t>
      </w:r>
      <w:r>
        <w:rPr>
          <w:rFonts w:hint="eastAsia" w:ascii="微软雅黑" w:hAnsi="微软雅黑" w:eastAsia="微软雅黑" w:cs="宋体"/>
          <w:b/>
          <w:color w:val="000000"/>
          <w:sz w:val="28"/>
          <w:szCs w:val="28"/>
          <w:lang w:eastAsia="zh-CN"/>
        </w:rPr>
        <w:t>采购</w:t>
      </w:r>
      <w:r>
        <w:rPr>
          <w:rFonts w:hint="eastAsia" w:ascii="微软雅黑" w:hAnsi="微软雅黑" w:eastAsia="微软雅黑" w:cs="宋体"/>
          <w:b/>
          <w:color w:val="000000"/>
          <w:sz w:val="28"/>
          <w:szCs w:val="28"/>
        </w:rPr>
        <w:t>文件获取</w:t>
      </w:r>
      <w:r>
        <w:rPr>
          <w:rFonts w:hint="eastAsia" w:ascii="微软雅黑" w:hAnsi="微软雅黑" w:eastAsia="微软雅黑" w:cs="宋体"/>
          <w:b/>
          <w:color w:val="000000"/>
          <w:sz w:val="28"/>
          <w:szCs w:val="28"/>
          <w:lang w:val="en-US" w:eastAsia="zh-CN"/>
        </w:rPr>
        <w:t>及磋商保证金缴纳</w:t>
      </w:r>
    </w:p>
    <w:p>
      <w:pPr>
        <w:pStyle w:val="27"/>
        <w:numPr>
          <w:ilvl w:val="0"/>
          <w:numId w:val="3"/>
        </w:numPr>
        <w:ind w:left="851" w:hanging="284" w:firstLineChars="0"/>
        <w:rPr>
          <w:rFonts w:ascii="微软雅黑" w:hAnsi="微软雅黑" w:eastAsia="微软雅黑" w:cs="宋体"/>
          <w:color w:val="000000"/>
          <w:sz w:val="24"/>
        </w:rPr>
      </w:pPr>
      <w:r>
        <w:rPr>
          <w:rFonts w:hint="eastAsia" w:ascii="微软雅黑" w:hAnsi="微软雅黑" w:eastAsia="微软雅黑" w:cs="宋体"/>
          <w:color w:val="000000"/>
          <w:sz w:val="24"/>
        </w:rPr>
        <w:t>现场领取。</w:t>
      </w:r>
      <w:r>
        <w:rPr>
          <w:rFonts w:ascii="微软雅黑" w:hAnsi="微软雅黑" w:eastAsia="微软雅黑" w:cs="宋体"/>
          <w:color w:val="000000"/>
          <w:sz w:val="24"/>
        </w:rPr>
        <w:t>请持</w:t>
      </w:r>
      <w:r>
        <w:rPr>
          <w:rFonts w:hint="eastAsia" w:ascii="微软雅黑" w:hAnsi="微软雅黑" w:eastAsia="微软雅黑" w:cs="宋体"/>
          <w:color w:val="000000"/>
          <w:sz w:val="24"/>
        </w:rPr>
        <w:t>加盖单位公章的：经年检的营业执照副本复印件、法定代表人或被授权人身份证复印件、法定代表人授权书或单位介绍信原件</w:t>
      </w:r>
      <w:r>
        <w:rPr>
          <w:rFonts w:ascii="微软雅黑" w:hAnsi="微软雅黑" w:eastAsia="微软雅黑" w:cs="宋体"/>
          <w:color w:val="000000"/>
          <w:sz w:val="24"/>
        </w:rPr>
        <w:t>到</w:t>
      </w:r>
      <w:r>
        <w:rPr>
          <w:rFonts w:hint="eastAsia" w:ascii="微软雅黑" w:hAnsi="微软雅黑" w:eastAsia="微软雅黑" w:cs="宋体"/>
          <w:color w:val="000000"/>
          <w:sz w:val="24"/>
        </w:rPr>
        <w:t>泸州兴阳投资集团有限公司</w:t>
      </w:r>
      <w:r>
        <w:rPr>
          <w:rFonts w:ascii="微软雅黑" w:hAnsi="微软雅黑" w:eastAsia="微软雅黑" w:cs="宋体"/>
          <w:color w:val="000000"/>
          <w:sz w:val="24"/>
        </w:rPr>
        <w:t>报名、领取</w:t>
      </w:r>
      <w:r>
        <w:rPr>
          <w:rFonts w:hint="eastAsia" w:ascii="微软雅黑" w:hAnsi="微软雅黑" w:eastAsia="微软雅黑" w:cs="宋体"/>
          <w:color w:val="000000"/>
          <w:sz w:val="24"/>
          <w:lang w:eastAsia="zh-CN"/>
        </w:rPr>
        <w:t>采购</w:t>
      </w:r>
      <w:r>
        <w:rPr>
          <w:rFonts w:ascii="微软雅黑" w:hAnsi="微软雅黑" w:eastAsia="微软雅黑" w:cs="宋体"/>
          <w:color w:val="000000"/>
          <w:sz w:val="24"/>
        </w:rPr>
        <w:t>文件。</w:t>
      </w:r>
    </w:p>
    <w:p>
      <w:pPr>
        <w:pStyle w:val="27"/>
        <w:numPr>
          <w:ilvl w:val="0"/>
          <w:numId w:val="3"/>
        </w:numPr>
        <w:ind w:left="851" w:hanging="284" w:firstLineChars="0"/>
        <w:rPr>
          <w:rFonts w:ascii="微软雅黑" w:hAnsi="微软雅黑" w:eastAsia="微软雅黑" w:cs="宋体"/>
          <w:color w:val="000000"/>
          <w:sz w:val="24"/>
        </w:rPr>
      </w:pPr>
      <w:r>
        <w:rPr>
          <w:rFonts w:hint="eastAsia" w:ascii="微软雅黑" w:hAnsi="微软雅黑" w:eastAsia="微软雅黑" w:cs="宋体"/>
          <w:color w:val="000000"/>
          <w:sz w:val="24"/>
          <w:lang w:eastAsia="zh-CN"/>
        </w:rPr>
        <w:t>采购</w:t>
      </w:r>
      <w:r>
        <w:rPr>
          <w:rFonts w:ascii="微软雅黑" w:hAnsi="微软雅黑" w:eastAsia="微软雅黑" w:cs="宋体"/>
          <w:color w:val="000000"/>
          <w:sz w:val="24"/>
        </w:rPr>
        <w:t>文件售价：免费（</w:t>
      </w:r>
      <w:r>
        <w:rPr>
          <w:rFonts w:hint="eastAsia" w:ascii="微软雅黑" w:hAnsi="微软雅黑" w:eastAsia="微软雅黑" w:cs="宋体"/>
          <w:color w:val="000000"/>
          <w:sz w:val="24"/>
          <w:lang w:val="en-US" w:eastAsia="zh-CN"/>
        </w:rPr>
        <w:t>申请人</w:t>
      </w:r>
      <w:r>
        <w:rPr>
          <w:rFonts w:ascii="微软雅黑" w:hAnsi="微软雅黑" w:eastAsia="微软雅黑" w:cs="宋体"/>
          <w:color w:val="000000"/>
          <w:sz w:val="24"/>
        </w:rPr>
        <w:t>资格不能转让）</w:t>
      </w:r>
      <w:r>
        <w:rPr>
          <w:rFonts w:hint="eastAsia" w:ascii="微软雅黑" w:hAnsi="微软雅黑" w:eastAsia="微软雅黑" w:cs="宋体"/>
          <w:color w:val="000000"/>
          <w:sz w:val="24"/>
        </w:rPr>
        <w:t>。</w:t>
      </w:r>
    </w:p>
    <w:p>
      <w:pPr>
        <w:pStyle w:val="27"/>
        <w:numPr>
          <w:ilvl w:val="0"/>
          <w:numId w:val="3"/>
        </w:numPr>
        <w:ind w:left="851" w:hanging="284" w:firstLineChars="0"/>
        <w:rPr>
          <w:rFonts w:ascii="微软雅黑" w:hAnsi="微软雅黑" w:eastAsia="微软雅黑" w:cs="宋体"/>
          <w:color w:val="000000"/>
          <w:sz w:val="24"/>
        </w:rPr>
      </w:pPr>
      <w:r>
        <w:rPr>
          <w:rFonts w:hint="eastAsia" w:ascii="微软雅黑" w:hAnsi="微软雅黑" w:eastAsia="微软雅黑" w:cs="宋体"/>
          <w:color w:val="000000"/>
          <w:sz w:val="24"/>
          <w:lang w:val="en-US" w:eastAsia="zh-CN"/>
        </w:rPr>
        <w:t>磋商保证金：</w:t>
      </w:r>
      <w:r>
        <w:rPr>
          <w:rFonts w:hint="eastAsia" w:ascii="微软雅黑" w:hAnsi="微软雅黑" w:eastAsia="微软雅黑" w:cs="宋体"/>
          <w:b/>
          <w:bCs/>
          <w:color w:val="000000"/>
          <w:sz w:val="24"/>
          <w:lang w:val="en-US" w:eastAsia="zh-CN"/>
        </w:rPr>
        <w:t>本项目磋商保证金10000. 00元（大写：壹万元）</w:t>
      </w:r>
      <w:r>
        <w:rPr>
          <w:rFonts w:hint="eastAsia" w:ascii="微软雅黑" w:hAnsi="微软雅黑" w:eastAsia="微软雅黑" w:cs="宋体"/>
          <w:color w:val="000000"/>
          <w:sz w:val="24"/>
          <w:lang w:val="en-US" w:eastAsia="zh-CN"/>
        </w:rPr>
        <w:t>。以申请人基本帐户转帐方式缴纳至采购人账户，提交磋商保证金的截止时间为磋商开始前24小时，对逾期未缴纳磋商保证金者采购人将有权拒绝其参加磋商。</w:t>
      </w:r>
    </w:p>
    <w:p>
      <w:pPr>
        <w:spacing w:after="50" w:line="360" w:lineRule="auto"/>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五、响应文件递交</w:t>
      </w:r>
    </w:p>
    <w:p>
      <w:pPr>
        <w:spacing w:after="50"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lang w:val="en-US" w:eastAsia="zh-CN"/>
        </w:rPr>
        <w:t>递交</w:t>
      </w:r>
      <w:r>
        <w:rPr>
          <w:rFonts w:hint="eastAsia" w:ascii="微软雅黑" w:hAnsi="微软雅黑" w:eastAsia="微软雅黑" w:cs="宋体"/>
          <w:color w:val="000000"/>
          <w:sz w:val="24"/>
        </w:rPr>
        <w:t>截止时间:</w:t>
      </w:r>
      <w:r>
        <w:rPr>
          <w:rFonts w:hint="eastAsia" w:ascii="微软雅黑" w:hAnsi="微软雅黑" w:eastAsia="微软雅黑" w:cs="宋体"/>
          <w:color w:val="000000"/>
          <w:sz w:val="24"/>
          <w:u w:val="single"/>
        </w:rPr>
        <w:t xml:space="preserve"> 2018 </w:t>
      </w:r>
      <w:r>
        <w:rPr>
          <w:rFonts w:hint="eastAsia" w:ascii="微软雅黑" w:hAnsi="微软雅黑" w:eastAsia="微软雅黑" w:cs="宋体"/>
          <w:color w:val="000000"/>
          <w:sz w:val="24"/>
        </w:rPr>
        <w:t>年</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u w:val="single"/>
          <w:lang w:val="en-US" w:eastAsia="zh-CN"/>
        </w:rPr>
        <w:t>4</w:t>
      </w:r>
      <w:r>
        <w:rPr>
          <w:rFonts w:hint="eastAsia" w:ascii="微软雅黑" w:hAnsi="微软雅黑" w:eastAsia="微软雅黑" w:cs="宋体"/>
          <w:color w:val="000000"/>
          <w:sz w:val="24"/>
        </w:rPr>
        <w:t>月</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u w:val="single"/>
          <w:lang w:val="en-US" w:eastAsia="zh-CN"/>
        </w:rPr>
        <w:t>4</w:t>
      </w:r>
      <w:r>
        <w:rPr>
          <w:rFonts w:hint="eastAsia" w:ascii="微软雅黑" w:hAnsi="微软雅黑" w:eastAsia="微软雅黑" w:cs="宋体"/>
          <w:color w:val="000000"/>
          <w:sz w:val="24"/>
        </w:rPr>
        <w:t>日</w:t>
      </w:r>
      <w:r>
        <w:rPr>
          <w:rFonts w:hint="eastAsia" w:ascii="微软雅黑" w:hAnsi="微软雅黑" w:eastAsia="微软雅黑" w:cs="宋体"/>
          <w:color w:val="000000"/>
          <w:sz w:val="24"/>
          <w:lang w:eastAsia="zh-CN"/>
        </w:rPr>
        <w:t>上</w:t>
      </w:r>
      <w:r>
        <w:rPr>
          <w:rFonts w:hint="eastAsia" w:ascii="微软雅黑" w:hAnsi="微软雅黑" w:eastAsia="微软雅黑" w:cs="宋体"/>
          <w:color w:val="000000"/>
          <w:sz w:val="24"/>
        </w:rPr>
        <w:t>午</w:t>
      </w:r>
      <w:r>
        <w:rPr>
          <w:rFonts w:hint="eastAsia" w:ascii="微软雅黑" w:hAnsi="微软雅黑" w:eastAsia="微软雅黑" w:cs="宋体"/>
          <w:color w:val="000000"/>
          <w:sz w:val="24"/>
          <w:lang w:val="en-US" w:eastAsia="zh-CN"/>
        </w:rPr>
        <w:t>12</w:t>
      </w:r>
      <w:r>
        <w:rPr>
          <w:rFonts w:hint="eastAsia" w:ascii="微软雅黑" w:hAnsi="微软雅黑" w:eastAsia="微软雅黑" w:cs="宋体"/>
          <w:color w:val="000000"/>
          <w:sz w:val="24"/>
        </w:rPr>
        <w:t>:</w:t>
      </w:r>
      <w:r>
        <w:rPr>
          <w:rFonts w:hint="eastAsia" w:ascii="微软雅黑" w:hAnsi="微软雅黑" w:eastAsia="微软雅黑" w:cs="宋体"/>
          <w:color w:val="000000"/>
          <w:sz w:val="24"/>
          <w:lang w:val="en-US" w:eastAsia="zh-CN"/>
        </w:rPr>
        <w:t>0</w:t>
      </w:r>
      <w:r>
        <w:rPr>
          <w:rFonts w:hint="eastAsia" w:ascii="微软雅黑" w:hAnsi="微软雅黑" w:eastAsia="微软雅黑" w:cs="宋体"/>
          <w:color w:val="000000"/>
          <w:sz w:val="24"/>
        </w:rPr>
        <w:t>0，</w:t>
      </w:r>
      <w:r>
        <w:rPr>
          <w:rFonts w:hint="eastAsia" w:ascii="微软雅黑" w:hAnsi="微软雅黑" w:eastAsia="微软雅黑" w:cs="宋体"/>
          <w:color w:val="000000"/>
          <w:sz w:val="24"/>
          <w:lang w:val="en-US" w:eastAsia="zh-CN"/>
        </w:rPr>
        <w:t>磋商</w:t>
      </w:r>
      <w:r>
        <w:rPr>
          <w:rFonts w:hint="eastAsia" w:ascii="微软雅黑" w:hAnsi="微软雅黑" w:eastAsia="微软雅黑" w:cs="宋体"/>
          <w:color w:val="000000"/>
          <w:sz w:val="24"/>
        </w:rPr>
        <w:t>时间：</w:t>
      </w:r>
      <w:r>
        <w:rPr>
          <w:rFonts w:hint="eastAsia" w:ascii="微软雅黑" w:hAnsi="微软雅黑" w:eastAsia="微软雅黑" w:cs="宋体"/>
          <w:color w:val="000000"/>
          <w:sz w:val="24"/>
          <w:u w:val="single"/>
        </w:rPr>
        <w:t xml:space="preserve"> 2018 </w:t>
      </w:r>
      <w:r>
        <w:rPr>
          <w:rFonts w:hint="eastAsia" w:ascii="微软雅黑" w:hAnsi="微软雅黑" w:eastAsia="微软雅黑" w:cs="宋体"/>
          <w:color w:val="000000"/>
          <w:sz w:val="24"/>
        </w:rPr>
        <w:t>年</w:t>
      </w:r>
      <w:r>
        <w:rPr>
          <w:rFonts w:hint="eastAsia" w:ascii="微软雅黑" w:hAnsi="微软雅黑" w:eastAsia="微软雅黑" w:cs="宋体"/>
          <w:color w:val="000000"/>
          <w:sz w:val="24"/>
          <w:u w:val="single"/>
          <w:lang w:val="en-US" w:eastAsia="zh-CN"/>
        </w:rPr>
        <w:t>4</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月</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u w:val="single"/>
          <w:lang w:val="en-US" w:eastAsia="zh-CN"/>
        </w:rPr>
        <w:t xml:space="preserve">4 </w:t>
      </w:r>
      <w:r>
        <w:rPr>
          <w:rFonts w:hint="eastAsia" w:ascii="微软雅黑" w:hAnsi="微软雅黑" w:eastAsia="微软雅黑" w:cs="宋体"/>
          <w:sz w:val="24"/>
        </w:rPr>
        <w:t>日</w:t>
      </w:r>
      <w:r>
        <w:rPr>
          <w:rFonts w:hint="eastAsia" w:ascii="微软雅黑" w:hAnsi="微软雅黑" w:eastAsia="微软雅黑" w:cs="宋体"/>
          <w:color w:val="000000"/>
          <w:sz w:val="24"/>
          <w:lang w:eastAsia="zh-CN"/>
        </w:rPr>
        <w:t>下</w:t>
      </w:r>
      <w:r>
        <w:rPr>
          <w:rFonts w:hint="eastAsia" w:ascii="微软雅黑" w:hAnsi="微软雅黑" w:eastAsia="微软雅黑" w:cs="宋体"/>
          <w:color w:val="000000"/>
          <w:sz w:val="24"/>
        </w:rPr>
        <w:t>午</w:t>
      </w:r>
      <w:r>
        <w:rPr>
          <w:rFonts w:hint="eastAsia" w:ascii="微软雅黑" w:hAnsi="微软雅黑" w:eastAsia="微软雅黑" w:cs="宋体"/>
          <w:color w:val="000000"/>
          <w:sz w:val="24"/>
          <w:lang w:val="en-US" w:eastAsia="zh-CN"/>
        </w:rPr>
        <w:t>15:0</w:t>
      </w:r>
      <w:r>
        <w:rPr>
          <w:rFonts w:hint="eastAsia" w:ascii="微软雅黑" w:hAnsi="微软雅黑" w:eastAsia="微软雅黑" w:cs="宋体"/>
          <w:color w:val="000000"/>
          <w:sz w:val="24"/>
        </w:rPr>
        <w:t>0（北京时间）。</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必须在</w:t>
      </w:r>
      <w:r>
        <w:rPr>
          <w:rFonts w:hint="eastAsia" w:ascii="微软雅黑" w:hAnsi="微软雅黑" w:eastAsia="微软雅黑" w:cs="宋体"/>
          <w:color w:val="000000"/>
          <w:sz w:val="24"/>
          <w:lang w:val="en-US" w:eastAsia="zh-CN"/>
        </w:rPr>
        <w:t>递交</w:t>
      </w:r>
      <w:r>
        <w:rPr>
          <w:rFonts w:hint="eastAsia" w:ascii="微软雅黑" w:hAnsi="微软雅黑" w:eastAsia="微软雅黑" w:cs="宋体"/>
          <w:color w:val="000000"/>
          <w:sz w:val="24"/>
        </w:rPr>
        <w:t>截止时间前送达</w:t>
      </w:r>
      <w:r>
        <w:rPr>
          <w:rFonts w:hint="eastAsia" w:ascii="微软雅黑" w:hAnsi="微软雅黑" w:eastAsia="微软雅黑" w:cs="宋体"/>
          <w:color w:val="000000"/>
          <w:sz w:val="24"/>
          <w:lang w:val="en-US" w:eastAsia="zh-CN"/>
        </w:rPr>
        <w:t>磋商</w:t>
      </w:r>
      <w:r>
        <w:rPr>
          <w:rFonts w:hint="eastAsia" w:ascii="微软雅黑" w:hAnsi="微软雅黑" w:eastAsia="微软雅黑" w:cs="宋体"/>
          <w:color w:val="000000"/>
          <w:sz w:val="24"/>
        </w:rPr>
        <w:t>地点，逾期送达的</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恕不接收。</w:t>
      </w:r>
    </w:p>
    <w:p>
      <w:pPr>
        <w:spacing w:after="50" w:line="360" w:lineRule="auto"/>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六、</w:t>
      </w:r>
      <w:r>
        <w:rPr>
          <w:rFonts w:hint="eastAsia" w:ascii="微软雅黑" w:hAnsi="微软雅黑" w:eastAsia="微软雅黑" w:cs="宋体"/>
          <w:b/>
          <w:color w:val="000000"/>
          <w:sz w:val="28"/>
          <w:szCs w:val="28"/>
          <w:lang w:val="en-US" w:eastAsia="zh-CN"/>
        </w:rPr>
        <w:t>磋商</w:t>
      </w:r>
      <w:r>
        <w:rPr>
          <w:rFonts w:hint="eastAsia" w:ascii="微软雅黑" w:hAnsi="微软雅黑" w:eastAsia="微软雅黑" w:cs="宋体"/>
          <w:b/>
          <w:color w:val="000000"/>
          <w:sz w:val="28"/>
          <w:szCs w:val="28"/>
        </w:rPr>
        <w:t>地点</w:t>
      </w:r>
    </w:p>
    <w:p>
      <w:pPr>
        <w:spacing w:after="50" w:line="360" w:lineRule="auto"/>
        <w:ind w:left="489"/>
        <w:rPr>
          <w:rFonts w:ascii="微软雅黑" w:hAnsi="微软雅黑" w:eastAsia="微软雅黑" w:cs="宋体"/>
          <w:color w:val="000000"/>
          <w:sz w:val="28"/>
          <w:szCs w:val="28"/>
        </w:rPr>
      </w:pPr>
      <w:r>
        <w:rPr>
          <w:rFonts w:hint="eastAsia" w:ascii="微软雅黑" w:hAnsi="微软雅黑" w:eastAsia="微软雅黑" w:cs="宋体"/>
          <w:color w:val="000000"/>
          <w:sz w:val="24"/>
        </w:rPr>
        <w:t xml:space="preserve">泸州兴阳投资集团有限公司会议室。   </w:t>
      </w:r>
    </w:p>
    <w:p>
      <w:pPr>
        <w:spacing w:after="50" w:line="360" w:lineRule="auto"/>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七、联系方式</w:t>
      </w:r>
    </w:p>
    <w:p>
      <w:pPr>
        <w:pStyle w:val="27"/>
        <w:ind w:firstLine="1200" w:firstLineChars="500"/>
        <w:rPr>
          <w:rFonts w:ascii="微软雅黑" w:hAnsi="微软雅黑" w:eastAsia="微软雅黑" w:cs="宋体"/>
          <w:color w:val="000000"/>
          <w:sz w:val="24"/>
        </w:rPr>
      </w:pPr>
      <w:r>
        <w:rPr>
          <w:rFonts w:hint="eastAsia" w:ascii="微软雅黑" w:hAnsi="微软雅黑" w:eastAsia="微软雅黑" w:cs="宋体"/>
          <w:color w:val="000000"/>
          <w:sz w:val="24"/>
        </w:rPr>
        <w:t>采 购 人：泸州兴阳投资集团有限公司</w:t>
      </w:r>
    </w:p>
    <w:p>
      <w:pPr>
        <w:pStyle w:val="27"/>
        <w:ind w:firstLine="1200" w:firstLineChars="500"/>
        <w:rPr>
          <w:rFonts w:ascii="微软雅黑" w:hAnsi="微软雅黑" w:eastAsia="微软雅黑" w:cs="宋体"/>
          <w:color w:val="000000"/>
          <w:kern w:val="0"/>
          <w:sz w:val="24"/>
        </w:rPr>
      </w:pPr>
      <w:r>
        <w:rPr>
          <w:rFonts w:hint="eastAsia" w:ascii="微软雅黑" w:hAnsi="微软雅黑" w:eastAsia="微软雅黑" w:cs="宋体"/>
          <w:color w:val="000000"/>
          <w:sz w:val="24"/>
        </w:rPr>
        <w:t>地    址：</w:t>
      </w:r>
      <w:r>
        <w:rPr>
          <w:rFonts w:hint="eastAsia" w:ascii="微软雅黑" w:hAnsi="微软雅黑" w:eastAsia="微软雅黑" w:cs="宋体"/>
          <w:color w:val="000000"/>
          <w:sz w:val="24"/>
          <w:lang w:val="en-US" w:eastAsia="zh-CN"/>
        </w:rPr>
        <w:t>张坝桂圆林风景区西大门综合楼2F</w:t>
      </w:r>
    </w:p>
    <w:p>
      <w:pPr>
        <w:pStyle w:val="27"/>
        <w:ind w:firstLine="1200" w:firstLineChars="500"/>
        <w:rPr>
          <w:rFonts w:ascii="微软雅黑" w:hAnsi="微软雅黑" w:eastAsia="微软雅黑" w:cs="宋体"/>
          <w:sz w:val="24"/>
        </w:rPr>
      </w:pPr>
      <w:r>
        <w:rPr>
          <w:rFonts w:hint="eastAsia" w:ascii="微软雅黑" w:hAnsi="微软雅黑" w:eastAsia="微软雅黑" w:cs="宋体"/>
          <w:sz w:val="24"/>
        </w:rPr>
        <w:t>联 系 人：</w:t>
      </w:r>
      <w:r>
        <w:rPr>
          <w:rFonts w:hint="eastAsia" w:ascii="微软雅黑" w:hAnsi="微软雅黑" w:eastAsia="微软雅黑" w:cs="宋体"/>
          <w:sz w:val="24"/>
          <w:lang w:eastAsia="zh-CN"/>
        </w:rPr>
        <w:t>鲁</w:t>
      </w:r>
      <w:r>
        <w:rPr>
          <w:rFonts w:hint="eastAsia" w:ascii="微软雅黑" w:hAnsi="微软雅黑" w:eastAsia="微软雅黑" w:cs="宋体"/>
          <w:sz w:val="24"/>
          <w:lang w:val="en-US" w:eastAsia="zh-CN"/>
        </w:rPr>
        <w:t>女士</w:t>
      </w:r>
    </w:p>
    <w:p>
      <w:pPr>
        <w:pStyle w:val="27"/>
        <w:ind w:firstLine="1200" w:firstLineChars="500"/>
        <w:rPr>
          <w:rFonts w:ascii="微软雅黑" w:hAnsi="微软雅黑" w:eastAsia="微软雅黑" w:cs="宋体"/>
          <w:kern w:val="0"/>
          <w:sz w:val="24"/>
        </w:rPr>
      </w:pPr>
      <w:r>
        <w:rPr>
          <w:rFonts w:hint="eastAsia" w:ascii="微软雅黑" w:hAnsi="微软雅黑" w:eastAsia="微软雅黑" w:cs="宋体"/>
          <w:sz w:val="24"/>
        </w:rPr>
        <w:t>联系电话：</w:t>
      </w:r>
      <w:r>
        <w:rPr>
          <w:rFonts w:hint="eastAsia" w:ascii="微软雅黑" w:hAnsi="微软雅黑" w:eastAsia="微软雅黑" w:cs="宋体"/>
          <w:sz w:val="24"/>
          <w:lang w:val="en-US" w:eastAsia="zh-CN"/>
        </w:rPr>
        <w:t>15883068866</w:t>
      </w:r>
      <w:r>
        <w:rPr>
          <w:rFonts w:hint="eastAsia" w:ascii="微软雅黑" w:hAnsi="微软雅黑" w:eastAsia="微软雅黑" w:cs="宋体"/>
          <w:sz w:val="24"/>
        </w:rPr>
        <w:t xml:space="preserve">          </w:t>
      </w:r>
    </w:p>
    <w:p>
      <w:pPr>
        <w:spacing w:line="420" w:lineRule="exact"/>
        <w:ind w:right="420" w:rightChars="200" w:firstLine="560" w:firstLineChars="200"/>
        <w:rPr>
          <w:rFonts w:ascii="微软雅黑" w:hAnsi="微软雅黑" w:eastAsia="微软雅黑" w:cs="宋体"/>
          <w:color w:val="000000"/>
          <w:sz w:val="28"/>
          <w:szCs w:val="28"/>
        </w:rPr>
      </w:pPr>
    </w:p>
    <w:p>
      <w:pPr>
        <w:spacing w:line="420" w:lineRule="exact"/>
        <w:ind w:right="420" w:rightChars="200" w:firstLine="560" w:firstLineChars="200"/>
        <w:rPr>
          <w:rFonts w:ascii="微软雅黑" w:hAnsi="微软雅黑" w:eastAsia="微软雅黑" w:cs="宋体"/>
          <w:color w:val="000000"/>
          <w:sz w:val="28"/>
          <w:szCs w:val="28"/>
        </w:rPr>
      </w:pPr>
    </w:p>
    <w:p>
      <w:pPr>
        <w:spacing w:line="420" w:lineRule="exact"/>
        <w:ind w:right="420" w:rightChars="200" w:firstLine="560" w:firstLineChars="200"/>
        <w:jc w:val="right"/>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泸州兴阳投资集团有限公司</w:t>
      </w:r>
    </w:p>
    <w:p>
      <w:pPr>
        <w:pStyle w:val="18"/>
        <w:spacing w:after="50" w:afterAutospacing="0" w:line="420" w:lineRule="exact"/>
        <w:ind w:firstLine="5460" w:firstLineChars="1950"/>
        <w:rPr>
          <w:rFonts w:ascii="微软雅黑" w:hAnsi="微软雅黑" w:eastAsia="微软雅黑" w:cs="宋体"/>
          <w:color w:val="000000"/>
          <w:sz w:val="28"/>
          <w:szCs w:val="28"/>
        </w:rPr>
      </w:pPr>
      <w:r>
        <w:rPr>
          <w:rFonts w:hint="eastAsia" w:ascii="微软雅黑" w:hAnsi="微软雅黑" w:eastAsia="微软雅黑" w:cs="宋体"/>
          <w:color w:val="000000"/>
          <w:sz w:val="28"/>
          <w:szCs w:val="28"/>
          <w:u w:val="single"/>
        </w:rPr>
        <w:t>2018</w:t>
      </w:r>
      <w:r>
        <w:rPr>
          <w:rFonts w:hint="eastAsia" w:ascii="微软雅黑" w:hAnsi="微软雅黑" w:eastAsia="微软雅黑" w:cs="宋体"/>
          <w:color w:val="000000"/>
          <w:sz w:val="28"/>
          <w:szCs w:val="28"/>
        </w:rPr>
        <w:t>年</w:t>
      </w:r>
      <w:r>
        <w:rPr>
          <w:rFonts w:hint="eastAsia" w:ascii="微软雅黑" w:hAnsi="微软雅黑" w:eastAsia="微软雅黑" w:cs="宋体"/>
          <w:color w:val="000000"/>
          <w:sz w:val="28"/>
          <w:szCs w:val="28"/>
          <w:u w:val="single"/>
        </w:rPr>
        <w:t xml:space="preserve"> </w:t>
      </w:r>
      <w:r>
        <w:rPr>
          <w:rFonts w:hint="eastAsia" w:ascii="微软雅黑" w:hAnsi="微软雅黑" w:eastAsia="微软雅黑" w:cs="宋体"/>
          <w:color w:val="000000"/>
          <w:sz w:val="24"/>
          <w:u w:val="single"/>
          <w:lang w:val="en-US" w:eastAsia="zh-CN"/>
        </w:rPr>
        <w:t>3</w:t>
      </w:r>
      <w:r>
        <w:rPr>
          <w:rFonts w:hint="eastAsia" w:ascii="微软雅黑" w:hAnsi="微软雅黑" w:eastAsia="微软雅黑" w:cs="宋体"/>
          <w:color w:val="000000"/>
          <w:sz w:val="28"/>
          <w:szCs w:val="28"/>
          <w:u w:val="single"/>
        </w:rPr>
        <w:t xml:space="preserve"> </w:t>
      </w:r>
      <w:r>
        <w:rPr>
          <w:rFonts w:hint="eastAsia" w:ascii="微软雅黑" w:hAnsi="微软雅黑" w:eastAsia="微软雅黑" w:cs="宋体"/>
          <w:color w:val="000000"/>
          <w:sz w:val="28"/>
          <w:szCs w:val="28"/>
        </w:rPr>
        <w:t>月</w:t>
      </w:r>
      <w:r>
        <w:rPr>
          <w:rFonts w:hint="eastAsia" w:ascii="微软雅黑" w:hAnsi="微软雅黑" w:eastAsia="微软雅黑" w:cs="宋体"/>
          <w:color w:val="000000"/>
          <w:sz w:val="28"/>
          <w:szCs w:val="28"/>
          <w:u w:val="single"/>
        </w:rPr>
        <w:t xml:space="preserve"> </w:t>
      </w:r>
      <w:r>
        <w:rPr>
          <w:rFonts w:hint="eastAsia" w:ascii="微软雅黑" w:hAnsi="微软雅黑" w:eastAsia="微软雅黑" w:cs="宋体"/>
          <w:color w:val="000000"/>
          <w:sz w:val="24"/>
          <w:u w:val="single"/>
          <w:lang w:val="en-US" w:eastAsia="zh-CN"/>
        </w:rPr>
        <w:t>29</w:t>
      </w:r>
      <w:r>
        <w:rPr>
          <w:rFonts w:hint="eastAsia" w:ascii="微软雅黑" w:hAnsi="微软雅黑" w:eastAsia="微软雅黑" w:cs="宋体"/>
          <w:color w:val="000000"/>
          <w:sz w:val="28"/>
          <w:szCs w:val="28"/>
        </w:rPr>
        <w:t>日</w:t>
      </w:r>
    </w:p>
    <w:p>
      <w:pPr>
        <w:widowControl/>
        <w:jc w:val="left"/>
        <w:rPr>
          <w:rFonts w:ascii="微软雅黑" w:hAnsi="微软雅黑" w:eastAsia="微软雅黑" w:cs="宋体"/>
          <w:color w:val="000000"/>
          <w:kern w:val="0"/>
          <w:sz w:val="28"/>
          <w:szCs w:val="28"/>
        </w:rPr>
      </w:pPr>
      <w:r>
        <w:rPr>
          <w:rFonts w:ascii="微软雅黑" w:hAnsi="微软雅黑" w:eastAsia="微软雅黑" w:cs="宋体"/>
          <w:color w:val="000000"/>
          <w:sz w:val="28"/>
          <w:szCs w:val="28"/>
        </w:rPr>
        <w:br w:type="page"/>
      </w:r>
    </w:p>
    <w:p>
      <w:pPr>
        <w:pStyle w:val="2"/>
        <w:spacing w:line="240" w:lineRule="atLeast"/>
        <w:jc w:val="center"/>
        <w:rPr>
          <w:rFonts w:ascii="微软雅黑" w:hAnsi="微软雅黑" w:eastAsia="微软雅黑" w:cs="宋体"/>
          <w:color w:val="000000"/>
          <w:sz w:val="36"/>
          <w:szCs w:val="36"/>
        </w:rPr>
      </w:pPr>
      <w:bookmarkStart w:id="3" w:name="_Toc508133958"/>
      <w:bookmarkStart w:id="4" w:name="_Toc217446031"/>
      <w:bookmarkStart w:id="5" w:name="_Toc213496267"/>
      <w:bookmarkStart w:id="6" w:name="_Toc213396759"/>
      <w:bookmarkStart w:id="7" w:name="_Toc213396945"/>
      <w:bookmarkStart w:id="8" w:name="_Toc213397009"/>
      <w:r>
        <w:rPr>
          <w:rFonts w:hint="eastAsia" w:ascii="微软雅黑" w:hAnsi="微软雅黑" w:eastAsia="微软雅黑" w:cs="宋体"/>
          <w:color w:val="000000"/>
          <w:sz w:val="36"/>
          <w:szCs w:val="36"/>
        </w:rPr>
        <w:t xml:space="preserve">第二章  </w:t>
      </w:r>
      <w:r>
        <w:rPr>
          <w:rFonts w:hint="eastAsia" w:ascii="微软雅黑" w:hAnsi="微软雅黑" w:eastAsia="微软雅黑" w:cs="宋体"/>
          <w:color w:val="000000"/>
          <w:sz w:val="36"/>
          <w:szCs w:val="36"/>
          <w:lang w:eastAsia="zh-CN"/>
        </w:rPr>
        <w:t>申请人</w:t>
      </w:r>
      <w:r>
        <w:rPr>
          <w:rFonts w:hint="eastAsia" w:ascii="微软雅黑" w:hAnsi="微软雅黑" w:eastAsia="微软雅黑" w:cs="宋体"/>
          <w:color w:val="000000"/>
          <w:sz w:val="36"/>
          <w:szCs w:val="36"/>
        </w:rPr>
        <w:t>须知</w:t>
      </w:r>
      <w:bookmarkEnd w:id="3"/>
      <w:bookmarkEnd w:id="4"/>
      <w:bookmarkEnd w:id="5"/>
      <w:bookmarkEnd w:id="6"/>
      <w:bookmarkEnd w:id="7"/>
      <w:bookmarkEnd w:id="8"/>
    </w:p>
    <w:p>
      <w:pPr>
        <w:pStyle w:val="3"/>
        <w:spacing w:line="400" w:lineRule="exact"/>
        <w:jc w:val="center"/>
        <w:rPr>
          <w:rFonts w:hint="eastAsia" w:ascii="微软雅黑" w:hAnsi="微软雅黑" w:eastAsia="微软雅黑" w:cs="宋体"/>
          <w:bCs w:val="0"/>
          <w:color w:val="000000"/>
        </w:rPr>
      </w:pPr>
      <w:bookmarkStart w:id="9" w:name="_Toc213496268"/>
      <w:bookmarkStart w:id="10" w:name="_Toc189727030"/>
      <w:bookmarkStart w:id="11" w:name="_Toc213397010"/>
      <w:bookmarkStart w:id="12" w:name="_Toc217446032"/>
      <w:bookmarkStart w:id="13" w:name="_Toc508133959"/>
      <w:bookmarkStart w:id="14" w:name="_Toc213396946"/>
      <w:bookmarkStart w:id="15" w:name="_Toc213396760"/>
      <w:r>
        <w:rPr>
          <w:rFonts w:hint="eastAsia" w:ascii="微软雅黑" w:hAnsi="微软雅黑" w:eastAsia="微软雅黑" w:cs="宋体"/>
          <w:bCs w:val="0"/>
          <w:color w:val="000000"/>
        </w:rPr>
        <w:t>一、</w:t>
      </w:r>
      <w:r>
        <w:rPr>
          <w:rFonts w:hint="eastAsia" w:ascii="微软雅黑" w:hAnsi="微软雅黑" w:eastAsia="微软雅黑" w:cs="宋体"/>
          <w:bCs w:val="0"/>
          <w:color w:val="000000"/>
          <w:lang w:eastAsia="zh-CN"/>
        </w:rPr>
        <w:t>申请人</w:t>
      </w:r>
      <w:r>
        <w:rPr>
          <w:rFonts w:hint="eastAsia" w:ascii="微软雅黑" w:hAnsi="微软雅黑" w:eastAsia="微软雅黑" w:cs="宋体"/>
          <w:bCs w:val="0"/>
          <w:color w:val="000000"/>
        </w:rPr>
        <w:t>须知附表</w:t>
      </w:r>
      <w:bookmarkEnd w:id="9"/>
      <w:bookmarkEnd w:id="10"/>
      <w:bookmarkEnd w:id="11"/>
      <w:bookmarkEnd w:id="12"/>
      <w:bookmarkEnd w:id="13"/>
      <w:bookmarkEnd w:id="14"/>
      <w:bookmarkEnd w:id="15"/>
    </w:p>
    <w:tbl>
      <w:tblPr>
        <w:tblStyle w:val="23"/>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1955"/>
        <w:gridCol w:w="653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92" w:hRule="exact"/>
          <w:tblHeader/>
          <w:jc w:val="center"/>
        </w:trPr>
        <w:tc>
          <w:tcPr>
            <w:tcW w:w="1013" w:type="dxa"/>
            <w:vAlign w:val="center"/>
          </w:tcPr>
          <w:p>
            <w:pPr>
              <w:pStyle w:val="26"/>
              <w:ind w:left="9"/>
              <w:jc w:val="center"/>
              <w:rPr>
                <w:rFonts w:asciiTheme="minorEastAsia" w:hAnsiTheme="minorEastAsia" w:eastAsiaTheme="minorEastAsia"/>
                <w:b/>
                <w:color w:val="000000"/>
                <w:sz w:val="21"/>
                <w:szCs w:val="21"/>
                <w:lang w:val="zh-CN"/>
              </w:rPr>
            </w:pPr>
            <w:r>
              <w:rPr>
                <w:rFonts w:hint="eastAsia" w:asciiTheme="minorEastAsia" w:hAnsiTheme="minorEastAsia" w:eastAsiaTheme="minorEastAsia"/>
                <w:b/>
                <w:color w:val="000000"/>
                <w:sz w:val="21"/>
                <w:szCs w:val="21"/>
                <w:lang w:val="zh-CN"/>
              </w:rPr>
              <w:t xml:space="preserve">序号 </w:t>
            </w:r>
          </w:p>
        </w:tc>
        <w:tc>
          <w:tcPr>
            <w:tcW w:w="1955" w:type="dxa"/>
            <w:vAlign w:val="center"/>
          </w:tcPr>
          <w:p>
            <w:pPr>
              <w:pStyle w:val="26"/>
              <w:ind w:left="38"/>
              <w:jc w:val="center"/>
              <w:rPr>
                <w:rFonts w:asciiTheme="minorEastAsia" w:hAnsiTheme="minorEastAsia" w:eastAsiaTheme="minorEastAsia"/>
                <w:b/>
                <w:color w:val="000000"/>
                <w:sz w:val="21"/>
                <w:szCs w:val="21"/>
                <w:lang w:val="zh-CN"/>
              </w:rPr>
            </w:pPr>
            <w:r>
              <w:rPr>
                <w:rFonts w:hint="eastAsia" w:asciiTheme="minorEastAsia" w:hAnsiTheme="minorEastAsia" w:eastAsiaTheme="minorEastAsia"/>
                <w:b/>
                <w:color w:val="000000"/>
                <w:sz w:val="21"/>
                <w:szCs w:val="21"/>
                <w:lang w:val="zh-CN"/>
              </w:rPr>
              <w:t xml:space="preserve">应知事项 </w:t>
            </w:r>
          </w:p>
        </w:tc>
        <w:tc>
          <w:tcPr>
            <w:tcW w:w="6538" w:type="dxa"/>
            <w:vAlign w:val="center"/>
          </w:tcPr>
          <w:p>
            <w:pPr>
              <w:pStyle w:val="26"/>
              <w:jc w:val="center"/>
              <w:rPr>
                <w:rFonts w:asciiTheme="minorEastAsia" w:hAnsiTheme="minorEastAsia" w:eastAsiaTheme="minorEastAsia"/>
                <w:b/>
                <w:color w:val="000000"/>
                <w:sz w:val="21"/>
                <w:szCs w:val="21"/>
                <w:lang w:val="zh-CN"/>
              </w:rPr>
            </w:pPr>
            <w:r>
              <w:rPr>
                <w:rFonts w:hint="eastAsia" w:asciiTheme="minorEastAsia" w:hAnsiTheme="minorEastAsia" w:eastAsiaTheme="minorEastAsia"/>
                <w:b/>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822" w:hRule="exact"/>
          <w:jc w:val="center"/>
        </w:trPr>
        <w:tc>
          <w:tcPr>
            <w:tcW w:w="1013" w:type="dxa"/>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1955"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6538" w:type="dxa"/>
            <w:vAlign w:val="center"/>
          </w:tcPr>
          <w:p>
            <w:pPr>
              <w:pStyle w:val="27"/>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采 购 人：泸州兴阳投资集团有限公司</w:t>
            </w:r>
          </w:p>
          <w:p>
            <w:pPr>
              <w:pStyle w:val="27"/>
              <w:ind w:firstLine="105" w:firstLineChars="5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szCs w:val="21"/>
              </w:rPr>
              <w:t>地    址：</w:t>
            </w:r>
            <w:r>
              <w:rPr>
                <w:rFonts w:hint="eastAsia" w:cs="宋体" w:asciiTheme="minorEastAsia" w:hAnsiTheme="minorEastAsia" w:eastAsiaTheme="minorEastAsia"/>
                <w:color w:val="000000"/>
                <w:sz w:val="21"/>
                <w:szCs w:val="21"/>
                <w:lang w:val="en-US" w:eastAsia="zh-CN"/>
              </w:rPr>
              <w:t>张坝桂圆林风景区西大门综合楼2F</w:t>
            </w:r>
            <w:r>
              <w:rPr>
                <w:rFonts w:hint="eastAsia" w:cs="宋体" w:asciiTheme="minorEastAsia" w:hAnsiTheme="minorEastAsia" w:eastAsiaTheme="minorEastAsia"/>
                <w:color w:val="000000"/>
                <w:sz w:val="21"/>
                <w:szCs w:val="21"/>
              </w:rPr>
              <w:t xml:space="preserve"> </w:t>
            </w:r>
            <w:r>
              <w:rPr>
                <w:rFonts w:hint="eastAsia" w:cs="宋体" w:asciiTheme="minorEastAsia" w:hAnsiTheme="minorEastAsia" w:eastAsiaTheme="minorEastAsia"/>
                <w:b/>
                <w:color w:val="000000"/>
                <w:kern w:val="0"/>
                <w:szCs w:val="21"/>
              </w:rPr>
              <w:t xml:space="preserve"> </w:t>
            </w:r>
            <w:r>
              <w:rPr>
                <w:rFonts w:hint="eastAsia" w:cs="宋体" w:asciiTheme="minorEastAsia" w:hAnsiTheme="minorEastAsia" w:eastAsiaTheme="minorEastAsia"/>
                <w:color w:val="000000"/>
                <w:szCs w:val="21"/>
              </w:rPr>
              <w:t xml:space="preserve">                     </w:t>
            </w:r>
          </w:p>
          <w:p>
            <w:pPr>
              <w:pStyle w:val="27"/>
              <w:ind w:firstLine="105" w:firstLineChars="5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联 系 人：  </w:t>
            </w:r>
            <w:r>
              <w:rPr>
                <w:rFonts w:hint="eastAsia" w:cs="宋体" w:asciiTheme="minorEastAsia" w:hAnsiTheme="minorEastAsia" w:eastAsiaTheme="minorEastAsia"/>
                <w:szCs w:val="21"/>
                <w:lang w:eastAsia="zh-CN"/>
              </w:rPr>
              <w:t>张未</w:t>
            </w:r>
            <w:r>
              <w:rPr>
                <w:rFonts w:hint="eastAsia" w:cs="宋体" w:asciiTheme="minorEastAsia" w:hAnsiTheme="minorEastAsia" w:eastAsiaTheme="minorEastAsia"/>
                <w:szCs w:val="21"/>
              </w:rPr>
              <w:t xml:space="preserve">                      </w:t>
            </w:r>
          </w:p>
          <w:p>
            <w:pPr>
              <w:pStyle w:val="26"/>
              <w:ind w:firstLine="105" w:firstLineChars="50"/>
              <w:jc w:val="both"/>
              <w:rPr>
                <w:rFonts w:asciiTheme="minorEastAsia" w:hAnsiTheme="minorEastAsia" w:eastAsiaTheme="minorEastAsia"/>
                <w:color w:val="000000"/>
                <w:sz w:val="21"/>
                <w:szCs w:val="21"/>
                <w:lang w:val="zh-CN"/>
              </w:rPr>
            </w:pPr>
            <w:r>
              <w:rPr>
                <w:rFonts w:hint="eastAsia" w:asciiTheme="minorEastAsia" w:hAnsiTheme="minorEastAsia" w:eastAsiaTheme="minorEastAsia"/>
                <w:sz w:val="21"/>
                <w:szCs w:val="21"/>
              </w:rPr>
              <w:t xml:space="preserve">联系电话：  </w:t>
            </w:r>
            <w:r>
              <w:rPr>
                <w:rFonts w:hint="eastAsia" w:asciiTheme="minorEastAsia" w:hAnsiTheme="minorEastAsia" w:eastAsiaTheme="minorEastAsia"/>
                <w:sz w:val="21"/>
                <w:szCs w:val="21"/>
                <w:lang w:val="en-US" w:eastAsia="zh-CN"/>
              </w:rPr>
              <w:t>0830-3179579</w:t>
            </w:r>
            <w:r>
              <w:rPr>
                <w:rFonts w:hint="eastAsia" w:asciiTheme="minorEastAsia" w:hAnsiTheme="minorEastAsia" w:eastAsiaTheme="minorEastAsia"/>
                <w:sz w:val="21"/>
                <w:szCs w:val="21"/>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139" w:hRule="exact"/>
          <w:jc w:val="center"/>
        </w:trPr>
        <w:tc>
          <w:tcPr>
            <w:tcW w:w="1013" w:type="dxa"/>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1955"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w:t>
            </w:r>
          </w:p>
        </w:tc>
        <w:tc>
          <w:tcPr>
            <w:tcW w:w="6538" w:type="dxa"/>
            <w:vAlign w:val="center"/>
          </w:tcPr>
          <w:p>
            <w:pPr>
              <w:spacing w:line="360" w:lineRule="auto"/>
              <w:rPr>
                <w:rFonts w:cs="宋体" w:asciiTheme="minorEastAsia" w:hAnsiTheme="minorEastAsia" w:eastAsiaTheme="minorEastAsia"/>
                <w:color w:val="000000"/>
                <w:szCs w:val="21"/>
              </w:rPr>
            </w:pPr>
            <w:r>
              <w:rPr>
                <w:rFonts w:hint="eastAsia" w:cs="宋体" w:asciiTheme="minorEastAsia" w:hAnsiTheme="minorEastAsia" w:eastAsiaTheme="minorEastAsia"/>
                <w:szCs w:val="21"/>
              </w:rPr>
              <w:t xml:space="preserve">            </w:t>
            </w:r>
          </w:p>
          <w:p>
            <w:pPr>
              <w:spacing w:line="360" w:lineRule="auto"/>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项目名称：集团综合办公管理平台系统</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394" w:hRule="exact"/>
          <w:jc w:val="center"/>
        </w:trPr>
        <w:tc>
          <w:tcPr>
            <w:tcW w:w="1013" w:type="dxa"/>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3</w:t>
            </w:r>
          </w:p>
        </w:tc>
        <w:tc>
          <w:tcPr>
            <w:tcW w:w="1955"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最高限价</w:t>
            </w:r>
          </w:p>
        </w:tc>
        <w:tc>
          <w:tcPr>
            <w:tcW w:w="6538" w:type="dxa"/>
            <w:vAlign w:val="center"/>
          </w:tcPr>
          <w:p>
            <w:pPr>
              <w:spacing w:line="360" w:lineRule="auto"/>
              <w:ind w:firstLine="105" w:firstLineChars="50"/>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最高限价：</w:t>
            </w:r>
            <w:r>
              <w:rPr>
                <w:rFonts w:hint="eastAsia" w:cs="宋体" w:asciiTheme="minorEastAsia" w:hAnsiTheme="minorEastAsia" w:eastAsiaTheme="minorEastAsia"/>
                <w:b/>
                <w:bCs/>
                <w:color w:val="000000"/>
                <w:szCs w:val="21"/>
                <w:u w:val="single"/>
              </w:rPr>
              <w:t xml:space="preserve"> </w:t>
            </w:r>
            <w:r>
              <w:rPr>
                <w:rFonts w:hint="eastAsia" w:cs="宋体" w:asciiTheme="minorEastAsia" w:hAnsiTheme="minorEastAsia" w:eastAsiaTheme="minorEastAsia"/>
                <w:b/>
                <w:bCs/>
                <w:color w:val="000000"/>
                <w:szCs w:val="21"/>
                <w:u w:val="single"/>
                <w:lang w:val="en-US" w:eastAsia="zh-CN"/>
              </w:rPr>
              <w:t>75</w:t>
            </w:r>
            <w:r>
              <w:rPr>
                <w:rFonts w:hint="eastAsia" w:cs="宋体" w:asciiTheme="minorEastAsia" w:hAnsiTheme="minorEastAsia" w:eastAsiaTheme="minorEastAsia"/>
                <w:b/>
                <w:bCs/>
                <w:color w:val="000000"/>
                <w:szCs w:val="21"/>
                <w:u w:val="single"/>
              </w:rPr>
              <w:t xml:space="preserve"> </w:t>
            </w:r>
            <w:r>
              <w:rPr>
                <w:rFonts w:hint="eastAsia" w:cs="宋体" w:asciiTheme="minorEastAsia" w:hAnsiTheme="minorEastAsia" w:eastAsiaTheme="minorEastAsia"/>
                <w:b/>
                <w:bCs/>
                <w:color w:val="000000"/>
                <w:szCs w:val="21"/>
              </w:rPr>
              <w:t>万</w:t>
            </w:r>
          </w:p>
          <w:p>
            <w:pPr>
              <w:spacing w:line="360" w:lineRule="auto"/>
              <w:ind w:firstLine="105" w:firstLineChars="50"/>
              <w:rPr>
                <w:rFonts w:asciiTheme="minorEastAsia" w:hAnsiTheme="minorEastAsia" w:eastAsiaTheme="minorEastAsia"/>
                <w:color w:val="000000"/>
                <w:szCs w:val="21"/>
                <w:lang w:val="zh-CN"/>
              </w:rPr>
            </w:pPr>
            <w:r>
              <w:rPr>
                <w:rFonts w:hint="eastAsia" w:cs="宋体" w:asciiTheme="minorEastAsia" w:hAnsiTheme="minorEastAsia" w:eastAsiaTheme="minorEastAsia"/>
                <w:color w:val="000000"/>
                <w:szCs w:val="21"/>
              </w:rPr>
              <w:t>本项目报价不</w:t>
            </w:r>
            <w:r>
              <w:rPr>
                <w:rFonts w:hint="eastAsia" w:cs="宋体" w:asciiTheme="minorEastAsia" w:hAnsiTheme="minorEastAsia" w:eastAsiaTheme="minorEastAsia"/>
                <w:color w:val="000000"/>
                <w:szCs w:val="21"/>
                <w:lang w:val="en-US" w:eastAsia="zh-CN"/>
              </w:rPr>
              <w:t>得</w:t>
            </w:r>
            <w:r>
              <w:rPr>
                <w:rFonts w:hint="eastAsia" w:cs="宋体" w:asciiTheme="minorEastAsia" w:hAnsiTheme="minorEastAsia" w:eastAsiaTheme="minorEastAsia"/>
                <w:color w:val="000000"/>
                <w:szCs w:val="21"/>
              </w:rPr>
              <w:t>超过</w:t>
            </w:r>
            <w:r>
              <w:rPr>
                <w:rFonts w:hint="eastAsia" w:cs="宋体" w:asciiTheme="minorEastAsia" w:hAnsiTheme="minorEastAsia" w:eastAsiaTheme="minorEastAsia"/>
                <w:color w:val="000000"/>
                <w:szCs w:val="21"/>
                <w:lang w:eastAsia="zh-CN"/>
              </w:rPr>
              <w:t>采购人</w:t>
            </w:r>
            <w:r>
              <w:rPr>
                <w:rFonts w:hint="eastAsia" w:cs="宋体" w:asciiTheme="minorEastAsia" w:hAnsiTheme="minorEastAsia" w:eastAsiaTheme="minorEastAsia"/>
                <w:color w:val="000000"/>
                <w:szCs w:val="21"/>
              </w:rPr>
              <w:t>设定的限价</w:t>
            </w:r>
            <w:r>
              <w:rPr>
                <w:rFonts w:hint="eastAsia" w:cs="宋体" w:asciiTheme="minorEastAsia" w:hAnsiTheme="minorEastAsia" w:eastAsiaTheme="minorEastAsia"/>
                <w:color w:val="000000"/>
                <w:szCs w:val="21"/>
                <w:lang w:eastAsia="zh-CN"/>
              </w:rPr>
              <w:t>，</w:t>
            </w:r>
            <w:r>
              <w:rPr>
                <w:rFonts w:hint="eastAsia" w:cs="宋体" w:asciiTheme="minorEastAsia" w:hAnsiTheme="minorEastAsia" w:eastAsiaTheme="minorEastAsia"/>
                <w:color w:val="000000"/>
                <w:szCs w:val="21"/>
                <w:lang w:val="en-US" w:eastAsia="zh-CN"/>
              </w:rPr>
              <w:t>超过限价的响应文件作无效处理。</w:t>
            </w:r>
            <w:r>
              <w:rPr>
                <w:rFonts w:hint="eastAsia" w:asciiTheme="minorEastAsia" w:hAnsiTheme="minorEastAsia" w:eastAsiaTheme="minorEastAsia"/>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14" w:hRule="exact"/>
          <w:jc w:val="center"/>
        </w:trPr>
        <w:tc>
          <w:tcPr>
            <w:tcW w:w="1013" w:type="dxa"/>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1955"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6538" w:type="dxa"/>
            <w:vAlign w:val="center"/>
          </w:tcPr>
          <w:p>
            <w:pPr>
              <w:pStyle w:val="26"/>
              <w:ind w:firstLine="210" w:firstLineChars="100"/>
              <w:jc w:val="both"/>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68" w:hRule="exact"/>
          <w:jc w:val="center"/>
        </w:trPr>
        <w:tc>
          <w:tcPr>
            <w:tcW w:w="1013" w:type="dxa"/>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1955" w:type="dxa"/>
            <w:vAlign w:val="center"/>
          </w:tcPr>
          <w:p>
            <w:pPr>
              <w:pStyle w:val="26"/>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en-US" w:eastAsia="zh-CN"/>
              </w:rPr>
              <w:t>评审</w:t>
            </w:r>
            <w:r>
              <w:rPr>
                <w:rFonts w:hint="eastAsia" w:asciiTheme="minorEastAsia" w:hAnsiTheme="minorEastAsia" w:eastAsiaTheme="minorEastAsia"/>
                <w:color w:val="000000"/>
                <w:sz w:val="21"/>
                <w:szCs w:val="21"/>
                <w:lang w:val="zh-CN"/>
              </w:rPr>
              <w:t>方法</w:t>
            </w:r>
          </w:p>
        </w:tc>
        <w:tc>
          <w:tcPr>
            <w:tcW w:w="6538" w:type="dxa"/>
            <w:vAlign w:val="center"/>
          </w:tcPr>
          <w:p>
            <w:pPr>
              <w:pStyle w:val="26"/>
              <w:ind w:firstLine="105" w:firstLineChars="50"/>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综合评分法（√）  最低评分法（  ）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23" w:hRule="atLeast"/>
          <w:jc w:val="center"/>
        </w:trPr>
        <w:tc>
          <w:tcPr>
            <w:tcW w:w="1013" w:type="dxa"/>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1955" w:type="dxa"/>
            <w:vAlign w:val="center"/>
          </w:tcPr>
          <w:p>
            <w:pPr>
              <w:pStyle w:val="26"/>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时间要求</w:t>
            </w:r>
          </w:p>
        </w:tc>
        <w:tc>
          <w:tcPr>
            <w:tcW w:w="6538" w:type="dxa"/>
            <w:vAlign w:val="center"/>
          </w:tcPr>
          <w:p>
            <w:pPr>
              <w:spacing w:line="360" w:lineRule="auto"/>
              <w:ind w:firstLine="105" w:firstLineChars="50"/>
              <w:rPr>
                <w:rFonts w:asciiTheme="minorEastAsia" w:hAnsiTheme="minorEastAsia" w:eastAsiaTheme="minorEastAsia"/>
                <w:color w:val="000000"/>
                <w:szCs w:val="21"/>
              </w:rPr>
            </w:pPr>
            <w:r>
              <w:rPr>
                <w:rFonts w:hint="eastAsia" w:cs="宋体" w:asciiTheme="minorEastAsia" w:hAnsiTheme="minorEastAsia" w:eastAsiaTheme="minorEastAsia"/>
                <w:szCs w:val="21"/>
              </w:rPr>
              <w:t>从合同签订之日起</w:t>
            </w:r>
            <w:r>
              <w:rPr>
                <w:rFonts w:hint="eastAsia" w:cs="宋体" w:asciiTheme="minorEastAsia" w:hAnsiTheme="minorEastAsia" w:eastAsiaTheme="minorEastAsia"/>
                <w:szCs w:val="21"/>
                <w:u w:val="single"/>
              </w:rPr>
              <w:t xml:space="preserve"> 3</w:t>
            </w:r>
            <w:r>
              <w:rPr>
                <w:rFonts w:hint="eastAsia" w:cs="宋体" w:asciiTheme="minorEastAsia" w:hAnsiTheme="minorEastAsia" w:eastAsiaTheme="minorEastAsia"/>
                <w:szCs w:val="21"/>
              </w:rPr>
              <w:t>个月内，完成项目的调研、方案</w:t>
            </w:r>
            <w:r>
              <w:rPr>
                <w:rFonts w:hint="eastAsia" w:cs="宋体" w:asciiTheme="minorEastAsia" w:hAnsiTheme="minorEastAsia" w:eastAsiaTheme="minorEastAsia"/>
                <w:color w:val="000000"/>
                <w:szCs w:val="21"/>
              </w:rPr>
              <w:t>设计、个性化开发、调试、安装部署、培训、试运行及最终验收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23" w:hRule="atLeast"/>
          <w:jc w:val="center"/>
        </w:trPr>
        <w:tc>
          <w:tcPr>
            <w:tcW w:w="1013" w:type="dxa"/>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1955" w:type="dxa"/>
            <w:vAlign w:val="center"/>
          </w:tcPr>
          <w:p>
            <w:pPr>
              <w:jc w:val="center"/>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联合体</w:t>
            </w:r>
          </w:p>
        </w:tc>
        <w:tc>
          <w:tcPr>
            <w:tcW w:w="6538" w:type="dxa"/>
            <w:vAlign w:val="center"/>
          </w:tcPr>
          <w:p>
            <w:pPr>
              <w:ind w:firstLine="210" w:firstLineChars="100"/>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接受（ ）  不接受（</w:t>
            </w:r>
            <w:r>
              <w:rPr>
                <w:rFonts w:hint="eastAsia" w:asciiTheme="minorEastAsia" w:hAnsiTheme="minorEastAsia" w:eastAsiaTheme="minorEastAsia"/>
                <w:color w:val="000000"/>
                <w:szCs w:val="21"/>
                <w:lang w:val="zh-CN"/>
              </w:rPr>
              <w:t>√</w:t>
            </w:r>
            <w:r>
              <w:rPr>
                <w:rFonts w:hint="eastAsia" w:cs="宋体" w:asciiTheme="minorEastAsia" w:hAnsiTheme="minorEastAsia" w:eastAsiaTheme="minorEastAsia"/>
                <w:color w:val="000000"/>
                <w:kern w:val="0"/>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23" w:hRule="atLeast"/>
          <w:jc w:val="center"/>
        </w:trPr>
        <w:tc>
          <w:tcPr>
            <w:tcW w:w="1013" w:type="dxa"/>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8</w:t>
            </w:r>
          </w:p>
        </w:tc>
        <w:tc>
          <w:tcPr>
            <w:tcW w:w="1955" w:type="dxa"/>
            <w:vAlign w:val="center"/>
          </w:tcPr>
          <w:p>
            <w:pPr>
              <w:pStyle w:val="26"/>
              <w:spacing w:line="480" w:lineRule="exact"/>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磋商有效期</w:t>
            </w:r>
          </w:p>
        </w:tc>
        <w:tc>
          <w:tcPr>
            <w:tcW w:w="6538" w:type="dxa"/>
            <w:vAlign w:val="center"/>
          </w:tcPr>
          <w:p>
            <w:pPr>
              <w:pStyle w:val="26"/>
              <w:spacing w:line="480" w:lineRule="exact"/>
              <w:ind w:firstLine="105" w:firstLineChars="50"/>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磋商截止日期后90</w:t>
            </w:r>
            <w:r>
              <w:rPr>
                <w:rFonts w:hint="eastAsia" w:asciiTheme="minorEastAsia" w:hAnsiTheme="minorEastAsia" w:eastAsiaTheme="minorEastAsia"/>
                <w:color w:val="000000"/>
                <w:sz w:val="21"/>
                <w:szCs w:val="21"/>
                <w:lang w:val="en-US" w:eastAsia="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55"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9</w:t>
            </w:r>
          </w:p>
        </w:tc>
        <w:tc>
          <w:tcPr>
            <w:tcW w:w="1955" w:type="dxa"/>
            <w:tcBorders>
              <w:top w:val="single" w:color="auto" w:sz="8" w:space="0"/>
              <w:left w:val="single" w:color="auto" w:sz="8" w:space="0"/>
              <w:bottom w:val="single" w:color="auto" w:sz="8" w:space="0"/>
              <w:right w:val="single" w:color="auto" w:sz="8" w:space="0"/>
            </w:tcBorders>
            <w:vAlign w:val="center"/>
          </w:tcPr>
          <w:p>
            <w:pPr>
              <w:pStyle w:val="26"/>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en-US" w:eastAsia="zh-CN"/>
              </w:rPr>
              <w:t>磋商</w:t>
            </w:r>
            <w:r>
              <w:rPr>
                <w:rFonts w:hint="eastAsia" w:asciiTheme="minorEastAsia" w:hAnsiTheme="minorEastAsia" w:eastAsiaTheme="minorEastAsia"/>
                <w:color w:val="000000"/>
                <w:sz w:val="21"/>
                <w:szCs w:val="21"/>
                <w:lang w:val="zh-CN"/>
              </w:rPr>
              <w:t>保证金</w:t>
            </w:r>
          </w:p>
        </w:tc>
        <w:tc>
          <w:tcPr>
            <w:tcW w:w="6538" w:type="dxa"/>
            <w:tcBorders>
              <w:top w:val="single" w:color="auto" w:sz="8" w:space="0"/>
              <w:left w:val="single" w:color="auto" w:sz="8" w:space="0"/>
              <w:bottom w:val="single" w:color="auto" w:sz="8" w:space="0"/>
              <w:right w:val="single" w:color="auto" w:sz="18" w:space="0"/>
            </w:tcBorders>
            <w:vAlign w:val="center"/>
          </w:tcPr>
          <w:p>
            <w:pPr>
              <w:spacing w:line="360" w:lineRule="auto"/>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金    额：壹万圆整；</w:t>
            </w:r>
          </w:p>
          <w:p>
            <w:pPr>
              <w:spacing w:line="360" w:lineRule="auto"/>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交款方式：转账（必须由</w:t>
            </w:r>
            <w:r>
              <w:rPr>
                <w:rFonts w:hint="eastAsia" w:cs="宋体" w:asciiTheme="minorEastAsia" w:hAnsiTheme="minorEastAsia" w:eastAsiaTheme="minorEastAsia"/>
                <w:color w:val="000000"/>
                <w:szCs w:val="21"/>
                <w:lang w:eastAsia="zh-CN"/>
              </w:rPr>
              <w:t>申请人</w:t>
            </w:r>
            <w:r>
              <w:rPr>
                <w:rFonts w:hint="eastAsia" w:cs="宋体" w:asciiTheme="minorEastAsia" w:hAnsiTheme="minorEastAsia" w:eastAsiaTheme="minorEastAsia"/>
                <w:color w:val="000000"/>
                <w:szCs w:val="21"/>
              </w:rPr>
              <w:t>基本帐户转出）；</w:t>
            </w:r>
          </w:p>
          <w:p>
            <w:pPr>
              <w:spacing w:line="360" w:lineRule="auto"/>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收款单位：</w:t>
            </w:r>
            <w:r>
              <w:rPr>
                <w:rFonts w:hint="eastAsia" w:cs="宋体" w:asciiTheme="minorEastAsia" w:hAnsiTheme="minorEastAsia" w:eastAsiaTheme="minorEastAsia"/>
                <w:color w:val="000000"/>
                <w:szCs w:val="21"/>
                <w:lang w:eastAsia="zh-CN"/>
              </w:rPr>
              <w:t>泸州兴阳投资集团有限公司</w:t>
            </w:r>
            <w:r>
              <w:rPr>
                <w:rFonts w:hint="eastAsia" w:cs="宋体" w:asciiTheme="minorEastAsia" w:hAnsiTheme="minorEastAsia" w:eastAsiaTheme="minorEastAsia"/>
                <w:color w:val="000000"/>
                <w:szCs w:val="21"/>
              </w:rPr>
              <w:t xml:space="preserve">        ；</w:t>
            </w:r>
          </w:p>
          <w:p>
            <w:pPr>
              <w:spacing w:line="360" w:lineRule="auto"/>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开 户 行： </w:t>
            </w:r>
            <w:r>
              <w:rPr>
                <w:rFonts w:hint="eastAsia" w:cs="宋体" w:asciiTheme="minorEastAsia" w:hAnsiTheme="minorEastAsia" w:eastAsiaTheme="minorEastAsia"/>
                <w:color w:val="000000"/>
                <w:szCs w:val="21"/>
                <w:lang w:eastAsia="zh-CN"/>
              </w:rPr>
              <w:t>中国银行泸州分行</w:t>
            </w:r>
            <w:r>
              <w:rPr>
                <w:rFonts w:hint="eastAsia"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lang w:val="en-US" w:eastAsia="zh-CN"/>
              </w:rPr>
              <w:t xml:space="preserve">   </w:t>
            </w:r>
            <w:r>
              <w:rPr>
                <w:rFonts w:hint="eastAsia" w:cs="宋体" w:asciiTheme="minorEastAsia" w:hAnsiTheme="minorEastAsia" w:eastAsiaTheme="minorEastAsia"/>
                <w:color w:val="000000"/>
                <w:szCs w:val="21"/>
              </w:rPr>
              <w:t xml:space="preserve">      ；</w:t>
            </w:r>
          </w:p>
          <w:p>
            <w:pPr>
              <w:spacing w:line="360" w:lineRule="auto"/>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银行账号：  </w:t>
            </w:r>
            <w:r>
              <w:rPr>
                <w:rFonts w:hint="eastAsia" w:cs="宋体" w:asciiTheme="minorEastAsia" w:hAnsiTheme="minorEastAsia" w:eastAsiaTheme="minorEastAsia"/>
                <w:color w:val="000000"/>
                <w:szCs w:val="21"/>
                <w:lang w:val="en-US" w:eastAsia="zh-CN"/>
              </w:rPr>
              <w:t>121202448197</w:t>
            </w:r>
            <w:r>
              <w:rPr>
                <w:rFonts w:hint="eastAsia" w:cs="宋体" w:asciiTheme="minorEastAsia" w:hAnsiTheme="minorEastAsia" w:eastAsiaTheme="minorEastAsia"/>
                <w:color w:val="000000"/>
                <w:szCs w:val="21"/>
              </w:rPr>
              <w:t xml:space="preserve">           ；</w:t>
            </w:r>
          </w:p>
          <w:p>
            <w:pPr>
              <w:spacing w:line="360" w:lineRule="auto"/>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交款截止时间：2018年 </w:t>
            </w:r>
            <w:r>
              <w:rPr>
                <w:rFonts w:hint="eastAsia" w:cs="宋体" w:asciiTheme="minorEastAsia" w:hAnsiTheme="minorEastAsia" w:eastAsiaTheme="minorEastAsia"/>
                <w:color w:val="000000"/>
                <w:szCs w:val="21"/>
                <w:lang w:val="en-US" w:eastAsia="zh-CN"/>
              </w:rPr>
              <w:t>4</w:t>
            </w:r>
            <w:r>
              <w:rPr>
                <w:rFonts w:hint="eastAsia" w:cs="宋体" w:asciiTheme="minorEastAsia" w:hAnsiTheme="minorEastAsia" w:eastAsiaTheme="minorEastAsia"/>
                <w:color w:val="000000"/>
                <w:szCs w:val="21"/>
              </w:rPr>
              <w:t>月</w:t>
            </w:r>
            <w:r>
              <w:rPr>
                <w:rFonts w:hint="eastAsia" w:cs="宋体" w:asciiTheme="minorEastAsia" w:hAnsiTheme="minorEastAsia" w:eastAsiaTheme="minorEastAsia"/>
                <w:color w:val="000000"/>
                <w:szCs w:val="21"/>
                <w:lang w:val="en-US" w:eastAsia="zh-CN"/>
              </w:rPr>
              <w:t>3</w:t>
            </w:r>
            <w:r>
              <w:rPr>
                <w:rFonts w:hint="eastAsia" w:cs="宋体" w:asciiTheme="minorEastAsia" w:hAnsiTheme="minorEastAsia" w:eastAsiaTheme="minorEastAsia"/>
                <w:color w:val="000000"/>
                <w:szCs w:val="21"/>
              </w:rPr>
              <w:t xml:space="preserve"> 日</w:t>
            </w:r>
            <w:r>
              <w:rPr>
                <w:rFonts w:hint="eastAsia" w:cs="宋体" w:asciiTheme="minorEastAsia" w:hAnsiTheme="minorEastAsia" w:eastAsiaTheme="minorEastAsia"/>
                <w:color w:val="000000"/>
                <w:szCs w:val="21"/>
                <w:lang w:val="en-US" w:eastAsia="zh-CN"/>
              </w:rPr>
              <w:t>16</w:t>
            </w:r>
            <w:r>
              <w:rPr>
                <w:rFonts w:hint="eastAsia" w:cs="宋体" w:asciiTheme="minorEastAsia" w:hAnsiTheme="minorEastAsia" w:eastAsiaTheme="minorEastAsia"/>
                <w:color w:val="000000"/>
                <w:szCs w:val="21"/>
              </w:rPr>
              <w:t>:00前（</w:t>
            </w:r>
            <w:r>
              <w:rPr>
                <w:rFonts w:hint="eastAsia" w:cs="宋体" w:asciiTheme="minorEastAsia" w:hAnsiTheme="minorEastAsia" w:eastAsiaTheme="minorEastAsia"/>
                <w:color w:val="000000"/>
                <w:szCs w:val="21"/>
                <w:lang w:eastAsia="zh-CN"/>
              </w:rPr>
              <w:t>磋商</w:t>
            </w:r>
            <w:r>
              <w:rPr>
                <w:rFonts w:hint="eastAsia" w:cs="宋体" w:asciiTheme="minorEastAsia" w:hAnsiTheme="minorEastAsia" w:eastAsiaTheme="minorEastAsia"/>
                <w:color w:val="000000"/>
                <w:szCs w:val="21"/>
              </w:rPr>
              <w:t>保证金的交纳以银行下账时间为准）。</w:t>
            </w:r>
          </w:p>
          <w:p>
            <w:pPr>
              <w:spacing w:line="360" w:lineRule="auto"/>
              <w:ind w:firstLine="105" w:firstLineChars="50"/>
              <w:rPr>
                <w:rFonts w:asciiTheme="minorEastAsia" w:hAnsiTheme="minorEastAsia" w:eastAsiaTheme="minorEastAsia"/>
                <w:color w:val="000000"/>
                <w:szCs w:val="21"/>
                <w:lang w:val="zh-CN"/>
              </w:rPr>
            </w:pPr>
            <w:r>
              <w:rPr>
                <w:rFonts w:hint="eastAsia" w:cs="宋体" w:asciiTheme="minorEastAsia" w:hAnsiTheme="minorEastAsia" w:eastAsiaTheme="minorEastAsia"/>
                <w:color w:val="000000"/>
                <w:szCs w:val="21"/>
              </w:rPr>
              <w:t>说明：未</w:t>
            </w:r>
            <w:r>
              <w:rPr>
                <w:rFonts w:hint="eastAsia" w:cs="宋体" w:asciiTheme="minorEastAsia" w:hAnsiTheme="minorEastAsia" w:eastAsiaTheme="minorEastAsia"/>
                <w:color w:val="000000"/>
                <w:szCs w:val="21"/>
                <w:lang w:eastAsia="zh-CN"/>
              </w:rPr>
              <w:t>成交</w:t>
            </w:r>
            <w:r>
              <w:rPr>
                <w:rFonts w:hint="eastAsia" w:cs="宋体" w:asciiTheme="minorEastAsia" w:hAnsiTheme="minorEastAsia" w:eastAsiaTheme="minorEastAsia"/>
                <w:color w:val="000000"/>
                <w:szCs w:val="21"/>
              </w:rPr>
              <w:t>的</w:t>
            </w:r>
            <w:r>
              <w:rPr>
                <w:rFonts w:hint="eastAsia" w:cs="宋体" w:asciiTheme="minorEastAsia" w:hAnsiTheme="minorEastAsia" w:eastAsiaTheme="minorEastAsia"/>
                <w:color w:val="000000"/>
                <w:szCs w:val="21"/>
                <w:lang w:eastAsia="zh-CN"/>
              </w:rPr>
              <w:t>申请人</w:t>
            </w:r>
            <w:r>
              <w:rPr>
                <w:rFonts w:hint="eastAsia" w:cs="宋体" w:asciiTheme="minorEastAsia" w:hAnsiTheme="minorEastAsia" w:eastAsiaTheme="minorEastAsia"/>
                <w:color w:val="000000"/>
                <w:szCs w:val="21"/>
              </w:rPr>
              <w:t>在3个工作日内退还</w:t>
            </w:r>
            <w:r>
              <w:rPr>
                <w:rFonts w:hint="eastAsia" w:cs="宋体" w:asciiTheme="minorEastAsia" w:hAnsiTheme="minorEastAsia" w:eastAsiaTheme="minorEastAsia"/>
                <w:color w:val="000000"/>
                <w:szCs w:val="21"/>
                <w:lang w:eastAsia="zh-CN"/>
              </w:rPr>
              <w:t>磋商</w:t>
            </w:r>
            <w:r>
              <w:rPr>
                <w:rFonts w:hint="eastAsia" w:cs="宋体" w:asciiTheme="minorEastAsia" w:hAnsiTheme="minorEastAsia" w:eastAsiaTheme="minorEastAsia"/>
                <w:color w:val="000000"/>
                <w:szCs w:val="21"/>
              </w:rPr>
              <w:t>保证金；</w:t>
            </w:r>
            <w:r>
              <w:rPr>
                <w:rFonts w:hint="eastAsia" w:cs="宋体" w:asciiTheme="minorEastAsia" w:hAnsiTheme="minorEastAsia" w:eastAsiaTheme="minorEastAsia"/>
                <w:color w:val="000000"/>
                <w:szCs w:val="21"/>
                <w:lang w:eastAsia="zh-CN"/>
              </w:rPr>
              <w:t>成交</w:t>
            </w:r>
            <w:r>
              <w:rPr>
                <w:rFonts w:hint="eastAsia" w:cs="宋体" w:asciiTheme="minorEastAsia" w:hAnsiTheme="minorEastAsia" w:eastAsiaTheme="minorEastAsia"/>
                <w:color w:val="000000"/>
                <w:szCs w:val="21"/>
              </w:rPr>
              <w:t>的</w:t>
            </w:r>
            <w:r>
              <w:rPr>
                <w:rFonts w:hint="eastAsia" w:cs="宋体" w:asciiTheme="minorEastAsia" w:hAnsiTheme="minorEastAsia" w:eastAsiaTheme="minorEastAsia"/>
                <w:color w:val="000000"/>
                <w:szCs w:val="21"/>
                <w:lang w:eastAsia="zh-CN"/>
              </w:rPr>
              <w:t>申请人</w:t>
            </w:r>
            <w:r>
              <w:rPr>
                <w:rFonts w:hint="eastAsia" w:cs="宋体" w:asciiTheme="minorEastAsia" w:hAnsiTheme="minorEastAsia" w:eastAsiaTheme="minorEastAsia"/>
                <w:color w:val="000000"/>
                <w:szCs w:val="21"/>
              </w:rPr>
              <w:t>在签订合同后3个工作日内退还</w:t>
            </w:r>
            <w:r>
              <w:rPr>
                <w:rFonts w:hint="eastAsia" w:cs="宋体" w:asciiTheme="minorEastAsia" w:hAnsiTheme="minorEastAsia" w:eastAsiaTheme="minorEastAsia"/>
                <w:color w:val="000000"/>
                <w:szCs w:val="21"/>
                <w:lang w:eastAsia="zh-CN"/>
              </w:rPr>
              <w:t>磋商</w:t>
            </w:r>
            <w:r>
              <w:rPr>
                <w:rFonts w:hint="eastAsia" w:cs="宋体" w:asciiTheme="minorEastAsia" w:hAnsiTheme="minorEastAsia" w:eastAsiaTheme="minorEastAsia"/>
                <w:color w:val="000000"/>
                <w:szCs w:val="21"/>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10</w:t>
            </w:r>
          </w:p>
        </w:tc>
        <w:tc>
          <w:tcPr>
            <w:tcW w:w="1955" w:type="dxa"/>
            <w:tcBorders>
              <w:top w:val="single" w:color="auto" w:sz="8" w:space="0"/>
              <w:left w:val="single" w:color="auto" w:sz="8" w:space="0"/>
              <w:bottom w:val="single" w:color="auto" w:sz="8" w:space="0"/>
              <w:right w:val="single" w:color="auto" w:sz="8" w:space="0"/>
            </w:tcBorders>
            <w:vAlign w:val="center"/>
          </w:tcPr>
          <w:p>
            <w:pPr>
              <w:pStyle w:val="26"/>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现场踏勘</w:t>
            </w:r>
          </w:p>
        </w:tc>
        <w:tc>
          <w:tcPr>
            <w:tcW w:w="6538" w:type="dxa"/>
            <w:tcBorders>
              <w:top w:val="single" w:color="auto" w:sz="8" w:space="0"/>
              <w:left w:val="single" w:color="auto" w:sz="8" w:space="0"/>
              <w:bottom w:val="single" w:color="auto" w:sz="8" w:space="0"/>
              <w:right w:val="single" w:color="auto" w:sz="18" w:space="0"/>
            </w:tcBorders>
            <w:vAlign w:val="center"/>
          </w:tcPr>
          <w:p>
            <w:pPr>
              <w:spacing w:line="360" w:lineRule="auto"/>
              <w:ind w:firstLine="105" w:firstLineChars="50"/>
              <w:rPr>
                <w:rFonts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val="zh-CN"/>
              </w:rPr>
              <w:t>根据本采购项目的具体情况，本次项目不组织单个或部分潜在申请人现场踏勘。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11</w:t>
            </w: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kern w:val="0"/>
                <w:szCs w:val="21"/>
              </w:rPr>
            </w:pPr>
            <w:r>
              <w:rPr>
                <w:rFonts w:hint="eastAsia" w:ascii="宋体" w:hAnsi="宋体" w:cs="宋体"/>
                <w:kern w:val="0"/>
                <w:szCs w:val="21"/>
                <w:lang w:eastAsia="zh-CN"/>
              </w:rPr>
              <w:t>响应文件</w:t>
            </w:r>
            <w:r>
              <w:rPr>
                <w:rFonts w:hint="eastAsia" w:ascii="宋体" w:hAnsi="宋体" w:cs="宋体"/>
                <w:kern w:val="0"/>
                <w:szCs w:val="21"/>
              </w:rPr>
              <w:t>的递交</w:t>
            </w:r>
          </w:p>
        </w:tc>
        <w:tc>
          <w:tcPr>
            <w:tcW w:w="6538" w:type="dxa"/>
            <w:tcBorders>
              <w:top w:val="single" w:color="auto" w:sz="8" w:space="0"/>
              <w:left w:val="single" w:color="auto" w:sz="8" w:space="0"/>
              <w:bottom w:val="single" w:color="auto" w:sz="8" w:space="0"/>
              <w:right w:val="single" w:color="auto" w:sz="18" w:space="0"/>
            </w:tcBorders>
            <w:vAlign w:val="center"/>
          </w:tcPr>
          <w:p>
            <w:pPr>
              <w:spacing w:line="360" w:lineRule="auto"/>
              <w:ind w:firstLine="105" w:firstLineChars="50"/>
              <w:rPr>
                <w:rFonts w:ascii="宋体" w:hAnsi="宋体" w:cs="宋体"/>
                <w:kern w:val="0"/>
                <w:szCs w:val="21"/>
              </w:rPr>
            </w:pPr>
            <w:r>
              <w:rPr>
                <w:rFonts w:hint="eastAsia" w:ascii="宋体" w:hAnsi="宋体" w:cs="宋体"/>
                <w:kern w:val="0"/>
                <w:szCs w:val="21"/>
                <w:lang w:eastAsia="zh-CN"/>
              </w:rPr>
              <w:t>响应文件</w:t>
            </w:r>
            <w:r>
              <w:rPr>
                <w:rFonts w:hint="eastAsia" w:ascii="宋体" w:hAnsi="宋体" w:cs="宋体"/>
                <w:kern w:val="0"/>
                <w:szCs w:val="21"/>
              </w:rPr>
              <w:t>正本1份，副本2份，</w:t>
            </w:r>
            <w:r>
              <w:rPr>
                <w:rFonts w:hint="eastAsia" w:ascii="宋体" w:hAnsi="宋体" w:cs="宋体"/>
                <w:kern w:val="0"/>
                <w:szCs w:val="21"/>
                <w:lang w:eastAsia="zh-CN"/>
              </w:rPr>
              <w:t>磋商</w:t>
            </w:r>
            <w:r>
              <w:rPr>
                <w:rFonts w:hint="eastAsia" w:ascii="宋体" w:hAnsi="宋体" w:cs="宋体"/>
                <w:kern w:val="0"/>
                <w:szCs w:val="21"/>
              </w:rPr>
              <w:t>截止时间: 2018 年</w:t>
            </w:r>
            <w:r>
              <w:rPr>
                <w:rFonts w:hint="eastAsia" w:ascii="宋体" w:hAnsi="宋体" w:cs="宋体"/>
                <w:kern w:val="0"/>
                <w:szCs w:val="21"/>
                <w:lang w:val="en-US" w:eastAsia="zh-CN"/>
              </w:rPr>
              <w:t>4</w:t>
            </w:r>
            <w:r>
              <w:rPr>
                <w:rFonts w:hint="eastAsia" w:ascii="宋体" w:hAnsi="宋体" w:cs="宋体"/>
                <w:kern w:val="0"/>
                <w:szCs w:val="21"/>
              </w:rPr>
              <w:t xml:space="preserve"> 月</w:t>
            </w:r>
            <w:r>
              <w:rPr>
                <w:rFonts w:hint="eastAsia" w:ascii="宋体" w:hAnsi="宋体" w:cs="宋体"/>
                <w:kern w:val="0"/>
                <w:szCs w:val="21"/>
                <w:lang w:val="en-US" w:eastAsia="zh-CN"/>
              </w:rPr>
              <w:t>4</w:t>
            </w:r>
            <w:r>
              <w:rPr>
                <w:rFonts w:hint="eastAsia" w:ascii="宋体" w:hAnsi="宋体" w:cs="宋体"/>
                <w:kern w:val="0"/>
                <w:szCs w:val="21"/>
              </w:rPr>
              <w:t>日</w:t>
            </w:r>
            <w:r>
              <w:rPr>
                <w:rFonts w:hint="eastAsia" w:ascii="宋体" w:hAnsi="宋体" w:cs="宋体"/>
                <w:kern w:val="0"/>
                <w:szCs w:val="21"/>
                <w:lang w:val="en-US" w:eastAsia="zh-CN"/>
              </w:rPr>
              <w:t>12</w:t>
            </w:r>
            <w:r>
              <w:rPr>
                <w:rFonts w:hint="eastAsia" w:ascii="宋体" w:hAnsi="宋体" w:cs="宋体"/>
                <w:kern w:val="0"/>
                <w:szCs w:val="21"/>
              </w:rPr>
              <w:t>:00（北京时间）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12</w:t>
            </w:r>
          </w:p>
        </w:tc>
        <w:tc>
          <w:tcPr>
            <w:tcW w:w="1955" w:type="dxa"/>
            <w:tcBorders>
              <w:top w:val="single" w:color="auto" w:sz="8" w:space="0"/>
              <w:left w:val="single" w:color="auto" w:sz="8" w:space="0"/>
              <w:bottom w:val="single" w:color="auto" w:sz="8" w:space="0"/>
              <w:right w:val="single" w:color="auto" w:sz="8" w:space="0"/>
            </w:tcBorders>
            <w:vAlign w:val="center"/>
          </w:tcPr>
          <w:p>
            <w:pPr>
              <w:pStyle w:val="26"/>
              <w:ind w:left="96"/>
              <w:jc w:val="center"/>
              <w:rPr>
                <w:rFonts w:asciiTheme="minorEastAsia" w:hAnsiTheme="minorEastAsia" w:eastAsiaTheme="minorEastAsia"/>
                <w:color w:val="000000"/>
                <w:sz w:val="21"/>
                <w:szCs w:val="21"/>
                <w:lang w:val="zh-CN"/>
              </w:rPr>
            </w:pPr>
            <w:r>
              <w:rPr>
                <w:rFonts w:hint="eastAsia"/>
                <w:sz w:val="21"/>
                <w:szCs w:val="21"/>
                <w:lang w:val="en-US" w:eastAsia="zh-CN"/>
              </w:rPr>
              <w:t>磋商</w:t>
            </w:r>
            <w:r>
              <w:rPr>
                <w:rFonts w:hint="eastAsia"/>
                <w:sz w:val="21"/>
                <w:szCs w:val="21"/>
              </w:rPr>
              <w:t>时间和地点</w:t>
            </w:r>
          </w:p>
        </w:tc>
        <w:tc>
          <w:tcPr>
            <w:tcW w:w="6538" w:type="dxa"/>
            <w:tcBorders>
              <w:top w:val="single" w:color="auto" w:sz="8" w:space="0"/>
              <w:left w:val="single" w:color="auto" w:sz="8" w:space="0"/>
              <w:bottom w:val="single" w:color="auto" w:sz="8" w:space="0"/>
              <w:right w:val="single" w:color="auto" w:sz="18" w:space="0"/>
            </w:tcBorders>
            <w:vAlign w:val="center"/>
          </w:tcPr>
          <w:p>
            <w:pPr>
              <w:spacing w:line="360" w:lineRule="auto"/>
              <w:ind w:firstLine="105" w:firstLineChars="50"/>
              <w:rPr>
                <w:rFonts w:cs="宋体" w:asciiTheme="minorEastAsia" w:hAnsiTheme="minorEastAsia" w:eastAsiaTheme="minorEastAsia"/>
                <w:color w:val="000000"/>
                <w:kern w:val="0"/>
                <w:szCs w:val="21"/>
                <w:lang w:val="zh-CN"/>
              </w:rPr>
            </w:pPr>
            <w:r>
              <w:rPr>
                <w:rFonts w:hint="eastAsia"/>
                <w:sz w:val="21"/>
                <w:szCs w:val="21"/>
                <w:lang w:val="en-US" w:eastAsia="zh-CN"/>
              </w:rPr>
              <w:t>磋商</w:t>
            </w:r>
            <w:r>
              <w:rPr>
                <w:rFonts w:hint="eastAsia" w:cs="宋体" w:asciiTheme="minorEastAsia" w:hAnsiTheme="minorEastAsia" w:eastAsiaTheme="minorEastAsia"/>
                <w:color w:val="000000"/>
                <w:kern w:val="0"/>
                <w:szCs w:val="21"/>
                <w:lang w:val="zh-CN"/>
              </w:rPr>
              <w:t>时间： 2018 年</w:t>
            </w:r>
            <w:r>
              <w:rPr>
                <w:rFonts w:hint="eastAsia" w:cs="宋体" w:asciiTheme="minorEastAsia" w:hAnsiTheme="minorEastAsia" w:eastAsiaTheme="minorEastAsia"/>
                <w:color w:val="000000"/>
                <w:kern w:val="0"/>
                <w:szCs w:val="21"/>
                <w:lang w:val="en-US" w:eastAsia="zh-CN"/>
              </w:rPr>
              <w:t>4</w:t>
            </w:r>
            <w:r>
              <w:rPr>
                <w:rFonts w:hint="eastAsia" w:cs="宋体" w:asciiTheme="minorEastAsia" w:hAnsiTheme="minorEastAsia" w:eastAsiaTheme="minorEastAsia"/>
                <w:color w:val="000000"/>
                <w:kern w:val="0"/>
                <w:szCs w:val="21"/>
                <w:lang w:val="zh-CN"/>
              </w:rPr>
              <w:t xml:space="preserve"> 月</w:t>
            </w:r>
            <w:r>
              <w:rPr>
                <w:rFonts w:hint="eastAsia" w:cs="宋体" w:asciiTheme="minorEastAsia" w:hAnsiTheme="minorEastAsia" w:eastAsiaTheme="minorEastAsia"/>
                <w:color w:val="000000"/>
                <w:kern w:val="0"/>
                <w:szCs w:val="21"/>
                <w:lang w:val="en-US" w:eastAsia="zh-CN"/>
              </w:rPr>
              <w:t>4</w:t>
            </w:r>
            <w:r>
              <w:rPr>
                <w:rFonts w:hint="eastAsia" w:cs="宋体" w:asciiTheme="minorEastAsia" w:hAnsiTheme="minorEastAsia" w:eastAsiaTheme="minorEastAsia"/>
                <w:color w:val="000000"/>
                <w:kern w:val="0"/>
                <w:szCs w:val="21"/>
                <w:lang w:val="zh-CN"/>
              </w:rPr>
              <w:t>日</w:t>
            </w:r>
            <w:r>
              <w:rPr>
                <w:rFonts w:hint="eastAsia" w:cs="宋体" w:asciiTheme="minorEastAsia" w:hAnsiTheme="minorEastAsia" w:eastAsiaTheme="minorEastAsia"/>
                <w:color w:val="000000"/>
                <w:kern w:val="0"/>
                <w:szCs w:val="21"/>
                <w:lang w:val="en-US" w:eastAsia="zh-CN"/>
              </w:rPr>
              <w:t>15:0</w:t>
            </w:r>
            <w:r>
              <w:rPr>
                <w:rFonts w:hint="eastAsia" w:cs="宋体" w:asciiTheme="minorEastAsia" w:hAnsiTheme="minorEastAsia" w:eastAsiaTheme="minorEastAsia"/>
                <w:color w:val="000000"/>
                <w:kern w:val="0"/>
                <w:szCs w:val="21"/>
                <w:lang w:val="zh-CN"/>
              </w:rPr>
              <w:t>0（北京时间）</w:t>
            </w:r>
          </w:p>
          <w:p>
            <w:pPr>
              <w:spacing w:line="360" w:lineRule="auto"/>
              <w:ind w:firstLine="105" w:firstLineChars="50"/>
              <w:rPr>
                <w:rFonts w:cs="宋体" w:asciiTheme="minorEastAsia" w:hAnsiTheme="minorEastAsia" w:eastAsiaTheme="minorEastAsia"/>
                <w:color w:val="000000"/>
                <w:kern w:val="0"/>
                <w:szCs w:val="21"/>
                <w:lang w:val="zh-CN"/>
              </w:rPr>
            </w:pPr>
            <w:r>
              <w:rPr>
                <w:rFonts w:hint="eastAsia"/>
                <w:sz w:val="21"/>
                <w:szCs w:val="21"/>
                <w:lang w:val="en-US" w:eastAsia="zh-CN"/>
              </w:rPr>
              <w:t>磋商</w:t>
            </w:r>
            <w:r>
              <w:rPr>
                <w:rFonts w:hint="eastAsia" w:cs="宋体" w:asciiTheme="minorEastAsia" w:hAnsiTheme="minorEastAsia" w:eastAsiaTheme="minorEastAsia"/>
                <w:color w:val="000000"/>
                <w:kern w:val="0"/>
                <w:szCs w:val="21"/>
                <w:lang w:val="zh-CN"/>
              </w:rPr>
              <w:t>地点：泸州兴阳投资集团有限公司会议室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13</w:t>
            </w: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转包及分包</w:t>
            </w:r>
          </w:p>
        </w:tc>
        <w:tc>
          <w:tcPr>
            <w:tcW w:w="6538" w:type="dxa"/>
            <w:tcBorders>
              <w:top w:val="single" w:color="auto" w:sz="8" w:space="0"/>
              <w:left w:val="single" w:color="auto" w:sz="8" w:space="0"/>
              <w:bottom w:val="single" w:color="auto" w:sz="8" w:space="0"/>
              <w:right w:val="single" w:color="auto" w:sz="18" w:space="0"/>
            </w:tcBorders>
            <w:vAlign w:val="center"/>
          </w:tcPr>
          <w:p>
            <w:pPr>
              <w:spacing w:line="360" w:lineRule="auto"/>
              <w:ind w:firstLine="85" w:firstLineChars="50"/>
              <w:rPr>
                <w:rFonts w:ascii="宋体" w:hAnsi="宋体"/>
                <w:szCs w:val="21"/>
              </w:rPr>
            </w:pPr>
            <w:r>
              <w:rPr>
                <w:rFonts w:hint="eastAsia" w:ascii="宋体" w:hAnsi="宋体"/>
                <w:spacing w:val="-20"/>
                <w:szCs w:val="21"/>
              </w:rPr>
              <w:t>不</w:t>
            </w:r>
            <w:r>
              <w:rPr>
                <w:rFonts w:hint="eastAsia" w:ascii="宋体" w:hAnsi="宋体"/>
                <w:szCs w:val="21"/>
              </w:rPr>
              <w:t>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6"/>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14</w:t>
            </w:r>
          </w:p>
        </w:tc>
        <w:tc>
          <w:tcPr>
            <w:tcW w:w="195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szCs w:val="21"/>
              </w:rPr>
            </w:pPr>
            <w:r>
              <w:rPr>
                <w:rFonts w:hint="eastAsia" w:ascii="宋体" w:hAnsi="宋体"/>
                <w:szCs w:val="21"/>
              </w:rPr>
              <w:t>付款方式</w:t>
            </w:r>
          </w:p>
        </w:tc>
        <w:tc>
          <w:tcPr>
            <w:tcW w:w="6538" w:type="dxa"/>
            <w:tcBorders>
              <w:top w:val="single" w:color="auto" w:sz="8" w:space="0"/>
              <w:left w:val="single" w:color="auto" w:sz="8" w:space="0"/>
              <w:bottom w:val="single" w:color="auto" w:sz="8" w:space="0"/>
              <w:right w:val="single" w:color="auto" w:sz="18" w:space="0"/>
            </w:tcBorders>
            <w:vAlign w:val="center"/>
          </w:tcPr>
          <w:p>
            <w:pPr>
              <w:spacing w:line="360" w:lineRule="auto"/>
              <w:ind w:firstLine="105" w:firstLineChars="50"/>
              <w:jc w:val="left"/>
              <w:rPr>
                <w:rFonts w:ascii="宋体" w:hAnsi="宋体"/>
                <w:szCs w:val="21"/>
              </w:rPr>
            </w:pPr>
            <w:r>
              <w:rPr>
                <w:rFonts w:hint="eastAsia" w:ascii="宋体" w:hAnsi="宋体"/>
                <w:szCs w:val="21"/>
              </w:rPr>
              <w:t>合同签订后</w:t>
            </w:r>
            <w:r>
              <w:rPr>
                <w:rFonts w:hint="eastAsia" w:ascii="宋体" w:hAnsi="宋体"/>
                <w:szCs w:val="21"/>
                <w:lang w:val="en-US" w:eastAsia="zh-CN"/>
              </w:rPr>
              <w:t>10</w:t>
            </w:r>
            <w:r>
              <w:rPr>
                <w:rFonts w:hint="eastAsia" w:ascii="宋体" w:hAnsi="宋体"/>
                <w:szCs w:val="21"/>
              </w:rPr>
              <w:t>个工作日内，支付合同总额的</w:t>
            </w:r>
            <w:r>
              <w:rPr>
                <w:rFonts w:hint="eastAsia" w:ascii="宋体" w:hAnsi="宋体"/>
                <w:szCs w:val="21"/>
                <w:lang w:val="en-US" w:eastAsia="zh-CN"/>
              </w:rPr>
              <w:t>3</w:t>
            </w:r>
            <w:r>
              <w:rPr>
                <w:rFonts w:hint="eastAsia" w:ascii="宋体" w:hAnsi="宋体"/>
                <w:szCs w:val="21"/>
              </w:rPr>
              <w:t>0%作为预付款；软件系统上线运行并验收合格后</w:t>
            </w:r>
            <w:r>
              <w:rPr>
                <w:rFonts w:hint="eastAsia" w:ascii="宋体" w:hAnsi="宋体"/>
                <w:szCs w:val="21"/>
                <w:lang w:val="en-US" w:eastAsia="zh-CN"/>
              </w:rPr>
              <w:t>10</w:t>
            </w:r>
            <w:r>
              <w:rPr>
                <w:rFonts w:hint="eastAsia" w:ascii="宋体" w:hAnsi="宋体"/>
                <w:szCs w:val="21"/>
              </w:rPr>
              <w:t>个工作日内，支付合同总额的</w:t>
            </w:r>
            <w:r>
              <w:rPr>
                <w:rFonts w:hint="eastAsia" w:ascii="宋体" w:hAnsi="宋体"/>
                <w:szCs w:val="21"/>
                <w:lang w:val="en-US" w:eastAsia="zh-CN"/>
              </w:rPr>
              <w:t>6</w:t>
            </w:r>
            <w:r>
              <w:rPr>
                <w:rFonts w:hint="eastAsia" w:ascii="宋体" w:hAnsi="宋体"/>
                <w:szCs w:val="21"/>
              </w:rPr>
              <w:t>5%；</w:t>
            </w:r>
            <w:r>
              <w:rPr>
                <w:rFonts w:hint="eastAsia" w:ascii="宋体" w:hAnsi="宋体"/>
                <w:szCs w:val="21"/>
                <w:lang w:val="en-US" w:eastAsia="zh-CN"/>
              </w:rPr>
              <w:t>验收合格运行</w:t>
            </w:r>
            <w:r>
              <w:rPr>
                <w:rFonts w:hint="eastAsia" w:ascii="宋体" w:hAnsi="宋体"/>
                <w:szCs w:val="21"/>
              </w:rPr>
              <w:t>满1年之后的</w:t>
            </w:r>
            <w:r>
              <w:rPr>
                <w:rFonts w:hint="eastAsia" w:ascii="宋体" w:hAnsi="宋体"/>
                <w:szCs w:val="21"/>
                <w:lang w:val="en-US" w:eastAsia="zh-CN"/>
              </w:rPr>
              <w:t>10</w:t>
            </w:r>
            <w:r>
              <w:rPr>
                <w:rFonts w:hint="eastAsia" w:ascii="宋体" w:hAnsi="宋体"/>
                <w:szCs w:val="21"/>
              </w:rPr>
              <w:t>个工作日内，支付合同总额的5%</w:t>
            </w:r>
          </w:p>
        </w:tc>
      </w:tr>
    </w:tbl>
    <w:p>
      <w:pPr>
        <w:rPr>
          <w:rFonts w:hint="eastAsia"/>
        </w:rPr>
      </w:pPr>
    </w:p>
    <w:p/>
    <w:p/>
    <w:p>
      <w:pPr>
        <w:pStyle w:val="3"/>
        <w:jc w:val="center"/>
        <w:rPr>
          <w:rFonts w:ascii="微软雅黑" w:hAnsi="微软雅黑" w:eastAsia="微软雅黑" w:cs="宋体"/>
          <w:bCs w:val="0"/>
          <w:color w:val="000000"/>
        </w:rPr>
      </w:pPr>
      <w:r>
        <w:br w:type="page"/>
      </w:r>
      <w:bookmarkStart w:id="16" w:name="_Toc508133960"/>
      <w:r>
        <w:rPr>
          <w:rFonts w:hint="eastAsia" w:ascii="微软雅黑" w:hAnsi="微软雅黑" w:eastAsia="微软雅黑"/>
        </w:rPr>
        <w:t>二、</w:t>
      </w:r>
      <w:bookmarkEnd w:id="16"/>
      <w:r>
        <w:rPr>
          <w:rFonts w:hint="eastAsia" w:ascii="微软雅黑" w:hAnsi="微软雅黑" w:eastAsia="微软雅黑"/>
          <w:lang w:val="en-US" w:eastAsia="zh-CN"/>
        </w:rPr>
        <w:t>申请人</w:t>
      </w:r>
      <w:r>
        <w:rPr>
          <w:rFonts w:hint="eastAsia" w:ascii="微软雅黑" w:hAnsi="微软雅黑" w:eastAsia="微软雅黑" w:cs="宋体"/>
          <w:bCs w:val="0"/>
          <w:color w:val="000000"/>
          <w:lang w:val="en-US" w:eastAsia="zh-CN"/>
        </w:rPr>
        <w:t>须知</w:t>
      </w:r>
    </w:p>
    <w:p>
      <w:pPr>
        <w:pStyle w:val="4"/>
        <w:spacing w:line="400" w:lineRule="exact"/>
        <w:rPr>
          <w:rFonts w:ascii="微软雅黑" w:hAnsi="微软雅黑" w:eastAsia="微软雅黑" w:cs="宋体"/>
          <w:color w:val="000000"/>
          <w:sz w:val="24"/>
        </w:rPr>
      </w:pPr>
      <w:bookmarkStart w:id="17" w:name="_Toc183582215"/>
      <w:bookmarkStart w:id="18" w:name="_Toc183682352"/>
      <w:bookmarkStart w:id="19" w:name="_Toc217446043"/>
      <w:bookmarkStart w:id="20" w:name="_Toc508133961"/>
      <w:r>
        <w:rPr>
          <w:rFonts w:hint="eastAsia" w:ascii="微软雅黑" w:hAnsi="微软雅黑" w:eastAsia="微软雅黑" w:cs="宋体"/>
          <w:bCs w:val="0"/>
          <w:color w:val="000000"/>
          <w:sz w:val="24"/>
        </w:rPr>
        <w:t>1</w:t>
      </w:r>
      <w:r>
        <w:rPr>
          <w:rFonts w:hint="eastAsia" w:ascii="微软雅黑" w:hAnsi="微软雅黑" w:eastAsia="微软雅黑" w:cs="宋体"/>
          <w:color w:val="000000"/>
          <w:sz w:val="24"/>
        </w:rPr>
        <w:t xml:space="preserve">. </w:t>
      </w:r>
      <w:bookmarkEnd w:id="17"/>
      <w:bookmarkEnd w:id="18"/>
      <w:bookmarkEnd w:id="19"/>
      <w:bookmarkStart w:id="21" w:name="_Toc183682353"/>
      <w:bookmarkStart w:id="22" w:name="_Toc217446044"/>
      <w:bookmarkStart w:id="23" w:name="_Toc183582216"/>
      <w:r>
        <w:rPr>
          <w:rFonts w:hint="eastAsia" w:ascii="微软雅黑" w:hAnsi="微软雅黑" w:eastAsia="微软雅黑" w:cs="宋体"/>
          <w:color w:val="000000"/>
          <w:sz w:val="24"/>
        </w:rPr>
        <w:t>计量单位</w:t>
      </w:r>
      <w:bookmarkEnd w:id="20"/>
      <w:bookmarkEnd w:id="21"/>
      <w:bookmarkEnd w:id="22"/>
      <w:bookmarkEnd w:id="23"/>
    </w:p>
    <w:p>
      <w:pPr>
        <w:spacing w:line="400" w:lineRule="exact"/>
        <w:ind w:firstLine="470" w:firstLineChars="196"/>
        <w:rPr>
          <w:rFonts w:ascii="微软雅黑" w:hAnsi="微软雅黑" w:eastAsia="微软雅黑" w:cs="宋体"/>
          <w:color w:val="000000"/>
          <w:sz w:val="24"/>
        </w:rPr>
      </w:pPr>
      <w:r>
        <w:rPr>
          <w:rFonts w:hint="eastAsia" w:ascii="微软雅黑" w:hAnsi="微软雅黑" w:eastAsia="微软雅黑" w:cs="宋体"/>
          <w:color w:val="000000"/>
          <w:sz w:val="24"/>
        </w:rPr>
        <w:t>除技术规格及要求中另有规定外，本采购项下的</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均采用国家法定的计量单位。</w:t>
      </w:r>
    </w:p>
    <w:p>
      <w:pPr>
        <w:pStyle w:val="4"/>
        <w:spacing w:line="400" w:lineRule="exact"/>
        <w:rPr>
          <w:rFonts w:ascii="微软雅黑" w:hAnsi="微软雅黑" w:eastAsia="微软雅黑" w:cs="宋体"/>
          <w:color w:val="000000"/>
          <w:sz w:val="24"/>
          <w:szCs w:val="24"/>
        </w:rPr>
      </w:pPr>
      <w:bookmarkStart w:id="24" w:name="_Toc217446045"/>
      <w:bookmarkStart w:id="25" w:name="_Toc508133962"/>
      <w:r>
        <w:rPr>
          <w:rFonts w:hint="eastAsia" w:ascii="微软雅黑" w:hAnsi="微软雅黑" w:eastAsia="微软雅黑" w:cs="宋体"/>
          <w:color w:val="000000"/>
          <w:sz w:val="24"/>
          <w:szCs w:val="24"/>
        </w:rPr>
        <w:t>2. 货币</w:t>
      </w:r>
      <w:bookmarkEnd w:id="24"/>
      <w:bookmarkEnd w:id="25"/>
    </w:p>
    <w:p>
      <w:pPr>
        <w:tabs>
          <w:tab w:val="left" w:pos="7665"/>
        </w:tabs>
        <w:spacing w:line="400" w:lineRule="exact"/>
        <w:ind w:left="13" w:hanging="118"/>
        <w:rPr>
          <w:rFonts w:ascii="微软雅黑" w:hAnsi="微软雅黑" w:eastAsia="微软雅黑" w:cs="宋体"/>
          <w:color w:val="000000"/>
          <w:sz w:val="24"/>
        </w:rPr>
      </w:pPr>
      <w:r>
        <w:rPr>
          <w:rFonts w:hint="eastAsia" w:ascii="微软雅黑" w:hAnsi="微软雅黑" w:eastAsia="微软雅黑" w:cs="宋体"/>
          <w:b/>
          <w:color w:val="000000"/>
          <w:sz w:val="24"/>
        </w:rPr>
        <w:t xml:space="preserve">    </w:t>
      </w:r>
      <w:r>
        <w:rPr>
          <w:rFonts w:hint="eastAsia" w:ascii="微软雅黑" w:hAnsi="微软雅黑" w:eastAsia="微软雅黑" w:cs="宋体"/>
          <w:color w:val="000000"/>
          <w:sz w:val="24"/>
        </w:rPr>
        <w:t xml:space="preserve"> 本次</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项目的</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均以人民币报价。</w:t>
      </w:r>
    </w:p>
    <w:p>
      <w:pPr>
        <w:pStyle w:val="4"/>
        <w:spacing w:line="400" w:lineRule="exact"/>
        <w:rPr>
          <w:rFonts w:ascii="微软雅黑" w:hAnsi="微软雅黑" w:eastAsia="微软雅黑" w:cs="宋体"/>
          <w:bCs w:val="0"/>
          <w:color w:val="000000"/>
          <w:sz w:val="24"/>
          <w:szCs w:val="24"/>
        </w:rPr>
      </w:pPr>
      <w:bookmarkStart w:id="26" w:name="_Toc217446046"/>
      <w:bookmarkStart w:id="27" w:name="_Toc508133963"/>
      <w:r>
        <w:rPr>
          <w:rFonts w:hint="eastAsia" w:ascii="微软雅黑" w:hAnsi="微软雅黑" w:eastAsia="微软雅黑" w:cs="宋体"/>
          <w:color w:val="000000"/>
          <w:sz w:val="24"/>
          <w:szCs w:val="24"/>
        </w:rPr>
        <w:t xml:space="preserve">3. </w:t>
      </w:r>
      <w:bookmarkEnd w:id="26"/>
      <w:bookmarkStart w:id="28" w:name="_Toc217446047"/>
      <w:r>
        <w:rPr>
          <w:rFonts w:hint="eastAsia" w:ascii="微软雅黑" w:hAnsi="微软雅黑" w:eastAsia="微软雅黑" w:cs="宋体"/>
          <w:bCs w:val="0"/>
          <w:color w:val="000000"/>
          <w:sz w:val="24"/>
          <w:szCs w:val="24"/>
        </w:rPr>
        <w:t>知识产权</w:t>
      </w:r>
      <w:bookmarkEnd w:id="27"/>
      <w:bookmarkEnd w:id="28"/>
    </w:p>
    <w:p>
      <w:pPr>
        <w:pStyle w:val="10"/>
        <w:spacing w:line="360" w:lineRule="auto"/>
        <w:ind w:firstLine="480"/>
        <w:rPr>
          <w:rFonts w:ascii="微软雅黑" w:hAnsi="微软雅黑" w:eastAsia="微软雅黑" w:cs="宋体"/>
          <w:color w:val="000000"/>
          <w:sz w:val="24"/>
          <w:szCs w:val="24"/>
        </w:rPr>
      </w:pPr>
      <w:r>
        <w:rPr>
          <w:rFonts w:hint="eastAsia" w:ascii="微软雅黑" w:hAnsi="微软雅黑" w:eastAsia="微软雅黑" w:cs="宋体"/>
          <w:color w:val="000000"/>
          <w:sz w:val="24"/>
          <w:szCs w:val="24"/>
          <w:lang w:eastAsia="zh-CN"/>
        </w:rPr>
        <w:t>申请人</w:t>
      </w:r>
      <w:r>
        <w:rPr>
          <w:rFonts w:hint="eastAsia" w:ascii="微软雅黑" w:hAnsi="微软雅黑" w:eastAsia="微软雅黑" w:cs="宋体"/>
          <w:color w:val="000000"/>
          <w:sz w:val="24"/>
          <w:szCs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微软雅黑" w:hAnsi="微软雅黑" w:eastAsia="微软雅黑" w:cs="宋体"/>
          <w:color w:val="000000"/>
          <w:sz w:val="24"/>
          <w:szCs w:val="24"/>
          <w:lang w:eastAsia="zh-CN"/>
        </w:rPr>
        <w:t>申请人</w:t>
      </w:r>
      <w:r>
        <w:rPr>
          <w:rFonts w:hint="eastAsia" w:ascii="微软雅黑" w:hAnsi="微软雅黑" w:eastAsia="微软雅黑" w:cs="宋体"/>
          <w:color w:val="000000"/>
          <w:sz w:val="24"/>
          <w:szCs w:val="24"/>
        </w:rPr>
        <w:t>承担所有相关责任。</w:t>
      </w:r>
    </w:p>
    <w:p>
      <w:pPr>
        <w:pStyle w:val="4"/>
        <w:spacing w:line="400" w:lineRule="exact"/>
        <w:rPr>
          <w:rFonts w:ascii="微软雅黑" w:hAnsi="微软雅黑" w:eastAsia="微软雅黑" w:cs="宋体"/>
          <w:color w:val="000000"/>
          <w:sz w:val="24"/>
        </w:rPr>
      </w:pPr>
      <w:bookmarkStart w:id="29" w:name="_Toc508133964"/>
      <w:bookmarkStart w:id="30" w:name="_Toc217446048"/>
      <w:bookmarkStart w:id="31" w:name="_Toc183582217"/>
      <w:bookmarkStart w:id="32" w:name="_Toc183682354"/>
      <w:r>
        <w:rPr>
          <w:rFonts w:hint="eastAsia" w:ascii="微软雅黑" w:hAnsi="微软雅黑" w:eastAsia="微软雅黑" w:cs="宋体"/>
          <w:color w:val="000000"/>
          <w:sz w:val="24"/>
        </w:rPr>
        <w:t>4</w:t>
      </w:r>
      <w:r>
        <w:rPr>
          <w:rFonts w:hint="eastAsia" w:ascii="微软雅黑" w:hAnsi="微软雅黑" w:eastAsia="微软雅黑" w:cs="宋体"/>
          <w:color w:val="000000"/>
          <w:sz w:val="24"/>
          <w:szCs w:val="24"/>
        </w:rPr>
        <w:t xml:space="preserve">. </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的组成</w:t>
      </w:r>
      <w:bookmarkEnd w:id="29"/>
      <w:bookmarkEnd w:id="30"/>
      <w:bookmarkEnd w:id="31"/>
      <w:bookmarkEnd w:id="32"/>
    </w:p>
    <w:p>
      <w:pPr>
        <w:spacing w:line="360" w:lineRule="auto"/>
        <w:ind w:firstLine="470" w:firstLineChars="196"/>
        <w:rPr>
          <w:rFonts w:ascii="微软雅黑" w:hAnsi="微软雅黑" w:eastAsia="微软雅黑" w:cs="宋体"/>
          <w:color w:val="000000"/>
          <w:sz w:val="24"/>
        </w:rPr>
      </w:pP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编写的</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应包括下列部分：</w:t>
      </w:r>
    </w:p>
    <w:p>
      <w:pPr>
        <w:spacing w:line="360" w:lineRule="auto"/>
        <w:ind w:firstLine="471" w:firstLineChars="196"/>
        <w:rPr>
          <w:rFonts w:ascii="微软雅黑" w:hAnsi="微软雅黑" w:eastAsia="微软雅黑" w:cs="宋体"/>
          <w:b/>
          <w:color w:val="000000"/>
          <w:sz w:val="24"/>
        </w:rPr>
      </w:pPr>
      <w:r>
        <w:rPr>
          <w:rFonts w:hint="eastAsia" w:ascii="微软雅黑" w:hAnsi="微软雅黑" w:eastAsia="微软雅黑" w:cs="宋体"/>
          <w:b/>
          <w:color w:val="000000"/>
          <w:sz w:val="24"/>
        </w:rPr>
        <w:t>4.1 报价</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（1）</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的报价是</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响应</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项目要求的全部工作内容的价格体现，包括</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完成本项目所需的一切费用。</w:t>
      </w:r>
    </w:p>
    <w:p>
      <w:pPr>
        <w:spacing w:line="360" w:lineRule="auto"/>
        <w:ind w:left="2" w:firstLine="352" w:firstLineChars="147"/>
        <w:rPr>
          <w:rFonts w:hint="eastAsia" w:ascii="微软雅黑" w:hAnsi="微软雅黑" w:eastAsia="微软雅黑" w:cs="宋体"/>
          <w:color w:val="000000"/>
          <w:sz w:val="24"/>
        </w:rPr>
      </w:pPr>
      <w:r>
        <w:rPr>
          <w:rFonts w:hint="eastAsia" w:ascii="微软雅黑" w:hAnsi="微软雅黑" w:eastAsia="微软雅黑" w:cs="宋体"/>
          <w:color w:val="000000"/>
          <w:sz w:val="24"/>
        </w:rPr>
        <w:t xml:space="preserve"> （2）</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每种货物只允许有一个报价，并且在合同履行过程中是固定不变的，任何有选择或可调整的报价将不予接受，并按无效处理。</w:t>
      </w:r>
    </w:p>
    <w:p>
      <w:pPr>
        <w:spacing w:line="360" w:lineRule="auto"/>
        <w:ind w:left="2" w:firstLine="352" w:firstLineChars="147"/>
        <w:rPr>
          <w:rFonts w:hint="eastAsia" w:ascii="微软雅黑" w:hAnsi="微软雅黑" w:eastAsia="微软雅黑" w:cs="宋体"/>
          <w:color w:val="000000" w:themeColor="text1"/>
          <w:sz w:val="24"/>
          <w:lang w:eastAsia="zh-CN"/>
          <w14:textFill>
            <w14:solidFill>
              <w14:schemeClr w14:val="tx1"/>
            </w14:solidFill>
          </w14:textFill>
        </w:rPr>
      </w:pPr>
      <w:r>
        <w:rPr>
          <w:rFonts w:hint="eastAsia" w:ascii="微软雅黑" w:hAnsi="微软雅黑" w:eastAsia="微软雅黑" w:cs="宋体"/>
          <w:color w:val="000000" w:themeColor="text1"/>
          <w:sz w:val="24"/>
          <w:lang w:eastAsia="zh-CN"/>
          <w14:textFill>
            <w14:solidFill>
              <w14:schemeClr w14:val="tx1"/>
            </w14:solidFill>
          </w14:textFill>
        </w:rPr>
        <w:t>（</w:t>
      </w:r>
      <w:r>
        <w:rPr>
          <w:rFonts w:hint="eastAsia" w:ascii="微软雅黑" w:hAnsi="微软雅黑" w:eastAsia="微软雅黑" w:cs="宋体"/>
          <w:color w:val="000000" w:themeColor="text1"/>
          <w:sz w:val="24"/>
          <w:lang w:val="en-US" w:eastAsia="zh-CN"/>
          <w14:textFill>
            <w14:solidFill>
              <w14:schemeClr w14:val="tx1"/>
            </w14:solidFill>
          </w14:textFill>
        </w:rPr>
        <w:t>3）报价须保留2位小数。</w:t>
      </w:r>
    </w:p>
    <w:p>
      <w:pPr>
        <w:tabs>
          <w:tab w:val="left" w:pos="540"/>
        </w:tabs>
        <w:spacing w:line="360" w:lineRule="auto"/>
        <w:ind w:firstLine="471" w:firstLineChars="196"/>
        <w:rPr>
          <w:rFonts w:ascii="微软雅黑" w:hAnsi="微软雅黑" w:eastAsia="微软雅黑" w:cs="宋体"/>
          <w:b/>
          <w:bCs/>
          <w:color w:val="000000"/>
          <w:sz w:val="24"/>
        </w:rPr>
      </w:pPr>
      <w:r>
        <w:rPr>
          <w:rFonts w:hint="eastAsia" w:ascii="微软雅黑" w:hAnsi="微软雅黑" w:eastAsia="微软雅黑" w:cs="宋体"/>
          <w:b/>
          <w:bCs/>
          <w:color w:val="000000"/>
          <w:sz w:val="24"/>
        </w:rPr>
        <w:t>4.2 技术部分</w:t>
      </w:r>
    </w:p>
    <w:p>
      <w:pPr>
        <w:tabs>
          <w:tab w:val="left" w:pos="540"/>
        </w:tabs>
        <w:spacing w:line="360" w:lineRule="auto"/>
        <w:ind w:firstLine="470" w:firstLineChars="196"/>
        <w:rPr>
          <w:rFonts w:ascii="微软雅黑" w:hAnsi="微软雅黑" w:eastAsia="微软雅黑" w:cs="宋体"/>
          <w:color w:val="000000"/>
          <w:sz w:val="24"/>
        </w:rPr>
      </w:pPr>
      <w:r>
        <w:rPr>
          <w:rFonts w:hint="eastAsia" w:ascii="微软雅黑" w:hAnsi="微软雅黑" w:eastAsia="微软雅黑" w:cs="宋体"/>
          <w:bCs/>
          <w:color w:val="000000"/>
          <w:sz w:val="24"/>
          <w:lang w:eastAsia="zh-CN"/>
        </w:rPr>
        <w:t>申请人</w:t>
      </w:r>
      <w:r>
        <w:rPr>
          <w:rFonts w:hint="eastAsia" w:ascii="微软雅黑" w:hAnsi="微软雅黑" w:eastAsia="微软雅黑" w:cs="宋体"/>
          <w:color w:val="000000"/>
          <w:sz w:val="24"/>
        </w:rPr>
        <w:t>按照</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文件要求做出的技术应答，主要是针对</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项目的技术指标、参数和技术要求做出的实质性响应。</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的技术应答应包括下列内容：</w:t>
      </w:r>
    </w:p>
    <w:p>
      <w:pPr>
        <w:pStyle w:val="40"/>
        <w:numPr>
          <w:ilvl w:val="0"/>
          <w:numId w:val="4"/>
        </w:numPr>
        <w:spacing w:line="360" w:lineRule="auto"/>
        <w:ind w:firstLineChars="0"/>
        <w:rPr>
          <w:rFonts w:ascii="微软雅黑" w:hAnsi="微软雅黑" w:eastAsia="微软雅黑" w:cs="宋体"/>
          <w:color w:val="000000"/>
          <w:sz w:val="24"/>
        </w:rPr>
      </w:pP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产品的品牌、型号、配置；</w:t>
      </w:r>
    </w:p>
    <w:p>
      <w:pPr>
        <w:pStyle w:val="40"/>
        <w:numPr>
          <w:ilvl w:val="0"/>
          <w:numId w:val="4"/>
        </w:num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产品详细的技术指标、参数和技术解决方案；</w:t>
      </w:r>
    </w:p>
    <w:p>
      <w:pPr>
        <w:pStyle w:val="40"/>
        <w:numPr>
          <w:ilvl w:val="0"/>
          <w:numId w:val="4"/>
        </w:num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color w:val="000000"/>
          <w:sz w:val="24"/>
        </w:rPr>
        <w:t>实施培训、售后维护方案；</w:t>
      </w:r>
    </w:p>
    <w:p>
      <w:pPr>
        <w:pStyle w:val="40"/>
        <w:numPr>
          <w:ilvl w:val="0"/>
          <w:numId w:val="4"/>
        </w:num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sz w:val="24"/>
          <w:lang w:eastAsia="zh-CN"/>
        </w:rPr>
        <w:t>磋商</w:t>
      </w:r>
      <w:r>
        <w:rPr>
          <w:rFonts w:hint="eastAsia" w:ascii="微软雅黑" w:hAnsi="微软雅黑" w:eastAsia="微软雅黑" w:cs="宋体"/>
          <w:color w:val="000000"/>
          <w:sz w:val="24"/>
        </w:rPr>
        <w:t>产品</w:t>
      </w:r>
      <w:r>
        <w:rPr>
          <w:rFonts w:hint="eastAsia" w:ascii="微软雅黑" w:hAnsi="微软雅黑" w:eastAsia="微软雅黑" w:cs="宋体"/>
          <w:sz w:val="24"/>
        </w:rPr>
        <w:t>近3年</w:t>
      </w:r>
      <w:r>
        <w:rPr>
          <w:rFonts w:hint="eastAsia" w:ascii="微软雅黑" w:hAnsi="微软雅黑" w:eastAsia="微软雅黑" w:cs="宋体"/>
          <w:color w:val="000000"/>
          <w:sz w:val="24"/>
        </w:rPr>
        <w:t>在国内</w:t>
      </w:r>
      <w:r>
        <w:rPr>
          <w:rFonts w:hint="eastAsia" w:ascii="微软雅黑" w:hAnsi="微软雅黑" w:eastAsia="微软雅黑" w:cs="宋体"/>
          <w:sz w:val="24"/>
        </w:rPr>
        <w:t>类似行业成功应用的案例介绍；</w:t>
      </w:r>
    </w:p>
    <w:p>
      <w:pPr>
        <w:pStyle w:val="40"/>
        <w:numPr>
          <w:ilvl w:val="0"/>
          <w:numId w:val="4"/>
        </w:num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sz w:val="24"/>
          <w:lang w:eastAsia="zh-CN"/>
        </w:rPr>
        <w:t>磋商</w:t>
      </w:r>
      <w:r>
        <w:rPr>
          <w:rFonts w:hint="eastAsia" w:ascii="微软雅黑" w:hAnsi="微软雅黑" w:eastAsia="微软雅黑" w:cs="宋体"/>
          <w:sz w:val="24"/>
        </w:rPr>
        <w:t>产品对服务器、客户端及移动端的硬件及网络环境要求；</w:t>
      </w:r>
    </w:p>
    <w:p>
      <w:pPr>
        <w:spacing w:line="360" w:lineRule="auto"/>
        <w:ind w:firstLine="471" w:firstLineChars="196"/>
        <w:rPr>
          <w:rFonts w:ascii="微软雅黑" w:hAnsi="微软雅黑" w:eastAsia="微软雅黑" w:cs="宋体"/>
          <w:b/>
          <w:bCs/>
          <w:color w:val="000000"/>
          <w:sz w:val="24"/>
        </w:rPr>
      </w:pPr>
      <w:r>
        <w:rPr>
          <w:rFonts w:hint="eastAsia" w:ascii="微软雅黑" w:hAnsi="微软雅黑" w:eastAsia="微软雅黑" w:cs="宋体"/>
          <w:b/>
          <w:bCs/>
          <w:color w:val="000000"/>
          <w:sz w:val="24"/>
        </w:rPr>
        <w:t>4.3 商务部分</w:t>
      </w:r>
    </w:p>
    <w:p>
      <w:pPr>
        <w:spacing w:line="360" w:lineRule="auto"/>
        <w:ind w:firstLine="470" w:firstLineChars="196"/>
        <w:rPr>
          <w:rFonts w:ascii="微软雅黑" w:hAnsi="微软雅黑" w:eastAsia="微软雅黑" w:cs="宋体"/>
          <w:color w:val="000000"/>
          <w:sz w:val="24"/>
        </w:rPr>
      </w:pPr>
      <w:r>
        <w:rPr>
          <w:rFonts w:hint="eastAsia" w:ascii="微软雅黑" w:hAnsi="微软雅黑" w:eastAsia="微软雅黑" w:cs="宋体"/>
          <w:color w:val="000000"/>
          <w:sz w:val="24"/>
        </w:rPr>
        <w:t>至少包括以下内容：</w:t>
      </w:r>
    </w:p>
    <w:p>
      <w:pPr>
        <w:spacing w:line="360" w:lineRule="auto"/>
        <w:ind w:left="508" w:leftChars="169" w:hanging="153" w:hangingChars="64"/>
        <w:rPr>
          <w:rFonts w:ascii="微软雅黑" w:hAnsi="微软雅黑" w:eastAsia="微软雅黑" w:cs="宋体"/>
          <w:color w:val="000000"/>
          <w:sz w:val="24"/>
        </w:rPr>
      </w:pPr>
      <w:r>
        <w:rPr>
          <w:rFonts w:hint="eastAsia" w:ascii="微软雅黑" w:hAnsi="微软雅黑" w:eastAsia="微软雅黑" w:cs="宋体"/>
          <w:color w:val="000000"/>
          <w:sz w:val="24"/>
        </w:rPr>
        <w:t xml:space="preserve"> （1）</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函；</w:t>
      </w:r>
    </w:p>
    <w:p>
      <w:pPr>
        <w:spacing w:line="360" w:lineRule="auto"/>
        <w:ind w:left="508" w:leftChars="169" w:hanging="153" w:hangingChars="64"/>
        <w:rPr>
          <w:rFonts w:ascii="微软雅黑" w:hAnsi="微软雅黑" w:eastAsia="微软雅黑" w:cs="宋体"/>
          <w:color w:val="000000"/>
          <w:sz w:val="24"/>
        </w:rPr>
      </w:pPr>
      <w:r>
        <w:rPr>
          <w:rFonts w:hint="eastAsia" w:ascii="微软雅黑" w:hAnsi="微软雅黑" w:eastAsia="微软雅黑" w:cs="宋体"/>
          <w:color w:val="000000"/>
          <w:sz w:val="24"/>
        </w:rPr>
        <w:t xml:space="preserve"> （2）</w:t>
      </w:r>
      <w:r>
        <w:rPr>
          <w:rFonts w:ascii="微软雅黑" w:hAnsi="微软雅黑" w:eastAsia="微软雅黑" w:cs="宋体"/>
          <w:color w:val="000000"/>
          <w:sz w:val="24"/>
        </w:rPr>
        <w:t>提供有效的</w:t>
      </w:r>
      <w:r>
        <w:rPr>
          <w:rFonts w:hint="eastAsia" w:ascii="微软雅黑" w:hAnsi="微软雅黑" w:eastAsia="微软雅黑" w:cs="宋体"/>
          <w:color w:val="000000"/>
          <w:sz w:val="24"/>
          <w:lang w:eastAsia="zh-CN"/>
        </w:rPr>
        <w:t>申请人</w:t>
      </w:r>
      <w:r>
        <w:rPr>
          <w:rFonts w:ascii="微软雅黑" w:hAnsi="微软雅黑" w:eastAsia="微软雅黑" w:cs="宋体"/>
          <w:color w:val="000000"/>
          <w:sz w:val="24"/>
        </w:rPr>
        <w:t>企业营业执照副本复印件、组织机构代码证复印件、税务登记证复印件，</w:t>
      </w:r>
      <w:r>
        <w:rPr>
          <w:rFonts w:hint="eastAsia" w:ascii="微软雅黑" w:hAnsi="微软雅黑" w:eastAsia="微软雅黑" w:cs="宋体"/>
          <w:color w:val="000000"/>
          <w:sz w:val="24"/>
        </w:rPr>
        <w:t>如已办理3证合1，则只需提供营业执照复印件即可；</w:t>
      </w:r>
    </w:p>
    <w:p>
      <w:pPr>
        <w:spacing w:line="360" w:lineRule="auto"/>
        <w:ind w:left="508" w:leftChars="169" w:hanging="153" w:hangingChars="64"/>
        <w:rPr>
          <w:rFonts w:ascii="微软雅黑" w:hAnsi="微软雅黑" w:eastAsia="微软雅黑" w:cs="宋体"/>
          <w:color w:val="000000"/>
          <w:sz w:val="24"/>
        </w:rPr>
      </w:pPr>
      <w:r>
        <w:rPr>
          <w:rFonts w:hint="eastAsia" w:ascii="微软雅黑" w:hAnsi="微软雅黑" w:eastAsia="微软雅黑" w:cs="宋体"/>
          <w:color w:val="000000"/>
          <w:sz w:val="24"/>
        </w:rPr>
        <w:t xml:space="preserve"> （3）法定代表人授权书原件；</w:t>
      </w:r>
    </w:p>
    <w:p>
      <w:pPr>
        <w:spacing w:line="360" w:lineRule="auto"/>
        <w:ind w:left="508" w:leftChars="169" w:hanging="153" w:hangingChars="64"/>
        <w:rPr>
          <w:rFonts w:hint="eastAsia" w:ascii="微软雅黑" w:hAnsi="微软雅黑" w:eastAsia="微软雅黑" w:cs="宋体"/>
          <w:color w:val="000000"/>
          <w:sz w:val="24"/>
        </w:rPr>
      </w:pPr>
      <w:r>
        <w:rPr>
          <w:rFonts w:hint="eastAsia" w:ascii="微软雅黑" w:hAnsi="微软雅黑" w:eastAsia="微软雅黑" w:cs="宋体"/>
          <w:color w:val="000000"/>
          <w:sz w:val="24"/>
        </w:rPr>
        <w:t xml:space="preserve"> （4）法定代表人和授权代表身份证复印件； </w:t>
      </w:r>
    </w:p>
    <w:p>
      <w:pPr>
        <w:spacing w:line="360" w:lineRule="auto"/>
        <w:ind w:left="508" w:leftChars="242"/>
        <w:rPr>
          <w:rFonts w:hint="eastAsia" w:ascii="微软雅黑" w:hAnsi="微软雅黑" w:eastAsia="微软雅黑" w:cs="宋体"/>
          <w:color w:val="000000"/>
          <w:sz w:val="24"/>
        </w:rPr>
      </w:pPr>
      <w:r>
        <w:rPr>
          <w:rFonts w:hint="eastAsia" w:ascii="微软雅黑" w:hAnsi="微软雅黑" w:eastAsia="微软雅黑" w:cs="宋体"/>
          <w:color w:val="000000"/>
          <w:sz w:val="24"/>
        </w:rPr>
        <w:t>（5）</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提供近三年中任意一年的经审计的财务报告（复印件，加盖</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鲜章）；如属于新成立</w:t>
      </w:r>
      <w:r>
        <w:rPr>
          <w:rFonts w:ascii="微软雅黑" w:hAnsi="微软雅黑" w:eastAsia="微软雅黑" w:cs="宋体"/>
          <w:color w:val="000000"/>
          <w:sz w:val="24"/>
        </w:rPr>
        <w:t>的公司不能提供经审计的财务报告的</w:t>
      </w:r>
      <w:r>
        <w:rPr>
          <w:rFonts w:hint="eastAsia" w:ascii="微软雅黑" w:hAnsi="微软雅黑" w:eastAsia="微软雅黑" w:cs="宋体"/>
          <w:color w:val="000000"/>
          <w:sz w:val="24"/>
        </w:rPr>
        <w:t>，或</w:t>
      </w:r>
      <w:r>
        <w:rPr>
          <w:rFonts w:ascii="微软雅黑" w:hAnsi="微软雅黑" w:eastAsia="微软雅黑" w:cs="宋体"/>
          <w:color w:val="000000"/>
          <w:sz w:val="24"/>
        </w:rPr>
        <w:t>非公司性质的</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w:t>
      </w:r>
      <w:r>
        <w:rPr>
          <w:rFonts w:ascii="微软雅黑" w:hAnsi="微软雅黑" w:eastAsia="微软雅黑" w:cs="宋体"/>
          <w:color w:val="000000"/>
          <w:sz w:val="24"/>
        </w:rPr>
        <w:t>可</w:t>
      </w:r>
      <w:r>
        <w:rPr>
          <w:rFonts w:hint="eastAsia" w:ascii="微软雅黑" w:hAnsi="微软雅黑" w:eastAsia="微软雅黑" w:cs="宋体"/>
          <w:color w:val="000000"/>
          <w:sz w:val="24"/>
        </w:rPr>
        <w:t>提供自</w:t>
      </w:r>
      <w:r>
        <w:rPr>
          <w:rFonts w:ascii="微软雅黑" w:hAnsi="微软雅黑" w:eastAsia="微软雅黑" w:cs="宋体"/>
          <w:color w:val="000000"/>
          <w:sz w:val="24"/>
        </w:rPr>
        <w:t>定的财务会计制度或银行资信证明</w:t>
      </w:r>
      <w:r>
        <w:rPr>
          <w:rFonts w:hint="eastAsia" w:ascii="微软雅黑" w:hAnsi="微软雅黑" w:eastAsia="微软雅黑" w:cs="宋体"/>
          <w:color w:val="000000"/>
          <w:sz w:val="24"/>
        </w:rPr>
        <w:t>（复印件，加盖</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鲜章）；（6）</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应提供近一年内任意时段的缴纳税收的银行电子回单（票据）或者税务部门出具的纳税证明（复印件，加盖</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鲜章）；</w:t>
      </w:r>
    </w:p>
    <w:p>
      <w:pPr>
        <w:spacing w:line="360" w:lineRule="auto"/>
        <w:ind w:left="508" w:leftChars="242"/>
        <w:rPr>
          <w:rFonts w:ascii="宋体" w:hAnsi="宋体" w:cs="宋体"/>
          <w:kern w:val="0"/>
          <w:sz w:val="24"/>
        </w:rPr>
      </w:pPr>
      <w:r>
        <w:rPr>
          <w:rFonts w:hint="eastAsia" w:ascii="微软雅黑" w:hAnsi="微软雅黑" w:eastAsia="微软雅黑" w:cs="宋体"/>
          <w:color w:val="000000"/>
          <w:sz w:val="24"/>
        </w:rPr>
        <w:t>（7）</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近一年内任意时段的缴纳社保的银行电子回单（票据）或社保部门出具的社保缴纳证明材料（复印件，加盖</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鲜章）；</w:t>
      </w:r>
    </w:p>
    <w:p>
      <w:p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color w:val="000000"/>
          <w:sz w:val="24"/>
        </w:rPr>
        <w:t>（8）</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产品的原制造厂商背景介绍；</w:t>
      </w:r>
    </w:p>
    <w:p>
      <w:p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color w:val="000000"/>
          <w:sz w:val="24"/>
        </w:rPr>
        <w:t>（9）</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产品原制造厂商项目授权书原件：</w:t>
      </w:r>
      <w:r>
        <w:rPr>
          <w:rFonts w:ascii="微软雅黑" w:hAnsi="微软雅黑" w:eastAsia="微软雅黑" w:cs="宋体"/>
          <w:color w:val="000000"/>
          <w:sz w:val="24"/>
        </w:rPr>
        <w:t>如果</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参与</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的产品</w:t>
      </w:r>
      <w:r>
        <w:rPr>
          <w:rFonts w:ascii="微软雅黑" w:hAnsi="微软雅黑" w:eastAsia="微软雅黑" w:cs="宋体"/>
          <w:color w:val="000000"/>
          <w:sz w:val="24"/>
        </w:rPr>
        <w:t>不是</w:t>
      </w:r>
      <w:r>
        <w:rPr>
          <w:rFonts w:hint="eastAsia" w:ascii="微软雅黑" w:hAnsi="微软雅黑" w:eastAsia="微软雅黑" w:cs="宋体"/>
          <w:color w:val="000000"/>
          <w:sz w:val="24"/>
          <w:lang w:eastAsia="zh-CN"/>
        </w:rPr>
        <w:t>申请人</w:t>
      </w:r>
      <w:r>
        <w:rPr>
          <w:rFonts w:ascii="微软雅黑" w:hAnsi="微软雅黑" w:eastAsia="微软雅黑" w:cs="宋体"/>
          <w:color w:val="000000"/>
          <w:sz w:val="24"/>
        </w:rPr>
        <w:t>自己制造的</w:t>
      </w:r>
      <w:r>
        <w:rPr>
          <w:rFonts w:hint="eastAsia" w:ascii="微软雅黑" w:hAnsi="微软雅黑" w:eastAsia="微软雅黑" w:cs="宋体"/>
          <w:color w:val="000000"/>
          <w:sz w:val="24"/>
        </w:rPr>
        <w:t>，</w:t>
      </w:r>
      <w:r>
        <w:rPr>
          <w:rFonts w:hint="eastAsia" w:ascii="微软雅黑" w:hAnsi="微软雅黑" w:eastAsia="微软雅黑" w:cs="宋体"/>
          <w:color w:val="000000"/>
          <w:sz w:val="24"/>
          <w:lang w:eastAsia="zh-CN"/>
        </w:rPr>
        <w:t>申请人</w:t>
      </w:r>
      <w:r>
        <w:rPr>
          <w:rFonts w:ascii="微软雅黑" w:hAnsi="微软雅黑" w:eastAsia="微软雅黑" w:cs="宋体"/>
          <w:color w:val="000000"/>
          <w:sz w:val="24"/>
        </w:rPr>
        <w:t>应得到</w:t>
      </w:r>
      <w:r>
        <w:rPr>
          <w:rFonts w:hint="eastAsia" w:ascii="微软雅黑" w:hAnsi="微软雅黑" w:eastAsia="微软雅黑" w:cs="宋体"/>
          <w:color w:val="000000"/>
          <w:sz w:val="24"/>
        </w:rPr>
        <w:t>产品</w:t>
      </w:r>
      <w:r>
        <w:rPr>
          <w:rFonts w:ascii="微软雅黑" w:hAnsi="微软雅黑" w:eastAsia="微软雅黑" w:cs="宋体"/>
          <w:color w:val="000000"/>
          <w:sz w:val="24"/>
        </w:rPr>
        <w:t>制造</w:t>
      </w:r>
      <w:r>
        <w:rPr>
          <w:rFonts w:hint="eastAsia" w:ascii="微软雅黑" w:hAnsi="微软雅黑" w:eastAsia="微软雅黑" w:cs="宋体"/>
          <w:color w:val="000000"/>
          <w:sz w:val="24"/>
        </w:rPr>
        <w:t>厂</w:t>
      </w:r>
      <w:r>
        <w:rPr>
          <w:rFonts w:ascii="微软雅黑" w:hAnsi="微软雅黑" w:eastAsia="微软雅黑" w:cs="宋体"/>
          <w:color w:val="000000"/>
          <w:sz w:val="24"/>
        </w:rPr>
        <w:t>商</w:t>
      </w:r>
      <w:r>
        <w:rPr>
          <w:rFonts w:hint="eastAsia" w:ascii="微软雅黑" w:hAnsi="微软雅黑" w:eastAsia="微软雅黑" w:cs="宋体"/>
          <w:color w:val="000000"/>
          <w:sz w:val="24"/>
        </w:rPr>
        <w:t>的</w:t>
      </w:r>
      <w:r>
        <w:rPr>
          <w:rFonts w:ascii="微软雅黑" w:hAnsi="微软雅黑" w:eastAsia="微软雅黑" w:cs="宋体"/>
          <w:color w:val="000000"/>
          <w:sz w:val="24"/>
        </w:rPr>
        <w:t>合法授权机构同意其</w:t>
      </w:r>
      <w:r>
        <w:rPr>
          <w:rFonts w:hint="eastAsia" w:ascii="微软雅黑" w:hAnsi="微软雅黑" w:eastAsia="微软雅黑" w:cs="宋体"/>
          <w:color w:val="000000"/>
          <w:sz w:val="24"/>
        </w:rPr>
        <w:t>参与本次</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项目</w:t>
      </w:r>
      <w:r>
        <w:rPr>
          <w:rFonts w:ascii="微软雅黑" w:hAnsi="微软雅黑" w:eastAsia="微软雅黑" w:cs="宋体"/>
          <w:color w:val="000000"/>
          <w:sz w:val="24"/>
        </w:rPr>
        <w:t>提供该</w:t>
      </w:r>
      <w:r>
        <w:rPr>
          <w:rFonts w:hint="eastAsia" w:ascii="微软雅黑" w:hAnsi="微软雅黑" w:eastAsia="微软雅黑" w:cs="宋体"/>
          <w:color w:val="000000"/>
          <w:sz w:val="24"/>
        </w:rPr>
        <w:t>产品</w:t>
      </w:r>
      <w:r>
        <w:rPr>
          <w:rFonts w:ascii="微软雅黑" w:hAnsi="微软雅黑" w:eastAsia="微软雅黑" w:cs="宋体"/>
          <w:color w:val="000000"/>
          <w:sz w:val="24"/>
        </w:rPr>
        <w:t>的正式授权书原件</w:t>
      </w:r>
      <w:r>
        <w:rPr>
          <w:rFonts w:hint="eastAsia" w:ascii="微软雅黑" w:hAnsi="微软雅黑" w:eastAsia="微软雅黑" w:cs="宋体"/>
          <w:color w:val="000000"/>
          <w:sz w:val="24"/>
        </w:rPr>
        <w:t>；</w:t>
      </w:r>
    </w:p>
    <w:p>
      <w:p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color w:val="000000"/>
          <w:sz w:val="24"/>
        </w:rPr>
        <w:t>（10）</w:t>
      </w:r>
      <w:r>
        <w:rPr>
          <w:rFonts w:ascii="微软雅黑" w:hAnsi="微软雅黑" w:eastAsia="微软雅黑" w:cs="宋体"/>
          <w:color w:val="000000"/>
          <w:sz w:val="24"/>
        </w:rPr>
        <w:t>提供</w:t>
      </w:r>
      <w:r>
        <w:rPr>
          <w:rFonts w:hint="eastAsia" w:ascii="微软雅黑" w:hAnsi="微软雅黑" w:eastAsia="微软雅黑" w:cs="宋体"/>
          <w:sz w:val="24"/>
          <w:lang w:eastAsia="zh-CN"/>
        </w:rPr>
        <w:t>申请人</w:t>
      </w:r>
      <w:r>
        <w:rPr>
          <w:rFonts w:ascii="微软雅黑" w:hAnsi="微软雅黑" w:eastAsia="微软雅黑" w:cs="宋体"/>
          <w:color w:val="000000"/>
          <w:sz w:val="24"/>
        </w:rPr>
        <w:t>具有履行合同所必须的设备和专业技术能力的承诺书</w:t>
      </w:r>
      <w:r>
        <w:rPr>
          <w:rFonts w:hint="eastAsia" w:ascii="微软雅黑" w:hAnsi="微软雅黑" w:eastAsia="微软雅黑" w:cs="宋体"/>
          <w:color w:val="000000"/>
          <w:sz w:val="24"/>
        </w:rPr>
        <w:t>；</w:t>
      </w:r>
    </w:p>
    <w:p>
      <w:pPr>
        <w:adjustRightInd w:val="0"/>
        <w:spacing w:line="360" w:lineRule="auto"/>
        <w:ind w:firstLine="480" w:firstLineChars="200"/>
        <w:jc w:val="left"/>
        <w:rPr>
          <w:rFonts w:ascii="微软雅黑" w:hAnsi="微软雅黑" w:eastAsia="微软雅黑" w:cs="宋体"/>
          <w:color w:val="000000"/>
          <w:sz w:val="24"/>
        </w:rPr>
      </w:pPr>
      <w:r>
        <w:rPr>
          <w:rFonts w:hint="eastAsia" w:ascii="微软雅黑" w:hAnsi="微软雅黑" w:eastAsia="微软雅黑" w:cs="宋体"/>
          <w:color w:val="000000"/>
          <w:sz w:val="24"/>
        </w:rPr>
        <w:t>（11）</w:t>
      </w:r>
      <w:r>
        <w:rPr>
          <w:rFonts w:ascii="微软雅黑" w:hAnsi="微软雅黑" w:eastAsia="微软雅黑" w:cs="宋体"/>
          <w:color w:val="000000"/>
          <w:sz w:val="24"/>
        </w:rPr>
        <w:t>提供参加本次采购活动前三年内，在经营活动中没有重大违法记录的承诺书</w:t>
      </w:r>
      <w:r>
        <w:rPr>
          <w:rFonts w:hint="eastAsia" w:ascii="微软雅黑" w:hAnsi="微软雅黑" w:eastAsia="微软雅黑" w:cs="宋体"/>
          <w:color w:val="000000"/>
          <w:sz w:val="24"/>
        </w:rPr>
        <w:t>。</w:t>
      </w:r>
    </w:p>
    <w:p>
      <w:pPr>
        <w:pStyle w:val="4"/>
        <w:rPr>
          <w:rFonts w:ascii="微软雅黑" w:hAnsi="微软雅黑" w:eastAsia="微软雅黑" w:cs="宋体"/>
          <w:bCs w:val="0"/>
          <w:color w:val="000000"/>
          <w:sz w:val="24"/>
        </w:rPr>
      </w:pPr>
      <w:bookmarkStart w:id="33" w:name="_Toc183682355"/>
      <w:bookmarkStart w:id="34" w:name="_Toc183582218"/>
      <w:bookmarkStart w:id="35" w:name="_Toc217446049"/>
      <w:bookmarkStart w:id="36" w:name="_Toc508133965"/>
      <w:r>
        <w:rPr>
          <w:rFonts w:hint="eastAsia" w:ascii="微软雅黑" w:hAnsi="微软雅黑" w:eastAsia="微软雅黑" w:cs="宋体"/>
          <w:bCs w:val="0"/>
          <w:color w:val="000000"/>
          <w:sz w:val="24"/>
        </w:rPr>
        <w:t>5</w:t>
      </w:r>
      <w:bookmarkEnd w:id="33"/>
      <w:bookmarkEnd w:id="34"/>
      <w:bookmarkEnd w:id="35"/>
      <w:bookmarkStart w:id="37" w:name="_Toc217446052"/>
      <w:bookmarkStart w:id="38" w:name="_Toc183682362"/>
      <w:bookmarkStart w:id="39" w:name="_Toc183582225"/>
      <w:r>
        <w:rPr>
          <w:rFonts w:hint="eastAsia" w:ascii="微软雅黑" w:hAnsi="微软雅黑" w:eastAsia="微软雅黑" w:cs="宋体"/>
          <w:bCs w:val="0"/>
          <w:color w:val="000000"/>
          <w:sz w:val="24"/>
        </w:rPr>
        <w:t xml:space="preserve">. </w:t>
      </w:r>
      <w:r>
        <w:rPr>
          <w:rFonts w:hint="eastAsia" w:ascii="微软雅黑" w:hAnsi="微软雅黑" w:eastAsia="微软雅黑" w:cs="宋体"/>
          <w:bCs w:val="0"/>
          <w:color w:val="000000"/>
          <w:sz w:val="24"/>
          <w:lang w:eastAsia="zh-CN"/>
        </w:rPr>
        <w:t>磋商</w:t>
      </w:r>
      <w:r>
        <w:rPr>
          <w:rFonts w:hint="eastAsia" w:ascii="微软雅黑" w:hAnsi="微软雅黑" w:eastAsia="微软雅黑" w:cs="宋体"/>
          <w:bCs w:val="0"/>
          <w:color w:val="000000"/>
          <w:sz w:val="24"/>
        </w:rPr>
        <w:t>有效期</w:t>
      </w:r>
      <w:bookmarkEnd w:id="36"/>
    </w:p>
    <w:p>
      <w:pPr>
        <w:tabs>
          <w:tab w:val="left" w:pos="7665"/>
        </w:tabs>
        <w:spacing w:line="360" w:lineRule="auto"/>
        <w:ind w:left="13" w:leftChars="6"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 xml:space="preserve">5.1 </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有效期为磋商截止日期后90</w:t>
      </w:r>
      <w:r>
        <w:rPr>
          <w:rFonts w:hint="eastAsia" w:ascii="微软雅黑" w:hAnsi="微软雅黑" w:eastAsia="微软雅黑" w:cs="宋体"/>
          <w:color w:val="000000"/>
          <w:sz w:val="24"/>
          <w:lang w:val="en-US" w:eastAsia="zh-CN"/>
        </w:rPr>
        <w:t>天</w:t>
      </w:r>
      <w:r>
        <w:rPr>
          <w:rFonts w:hint="eastAsia" w:ascii="微软雅黑" w:hAnsi="微软雅黑" w:eastAsia="微软雅黑" w:cs="宋体"/>
          <w:color w:val="000000"/>
          <w:szCs w:val="21"/>
        </w:rPr>
        <w:t>。</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有效期短于此规定期限的</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，将被拒绝。</w:t>
      </w:r>
    </w:p>
    <w:p>
      <w:pPr>
        <w:tabs>
          <w:tab w:val="left" w:pos="7665"/>
        </w:tabs>
        <w:spacing w:line="360" w:lineRule="auto"/>
        <w:ind w:left="13" w:leftChars="6" w:firstLine="360" w:firstLineChars="150"/>
        <w:rPr>
          <w:rFonts w:ascii="微软雅黑" w:hAnsi="微软雅黑" w:eastAsia="微软雅黑" w:cs="宋体"/>
          <w:color w:val="000000"/>
          <w:sz w:val="24"/>
        </w:rPr>
      </w:pPr>
      <w:r>
        <w:rPr>
          <w:rFonts w:hint="eastAsia" w:ascii="微软雅黑" w:hAnsi="微软雅黑" w:eastAsia="微软雅黑" w:cs="宋体"/>
          <w:color w:val="000000"/>
          <w:sz w:val="24"/>
        </w:rPr>
        <w:t xml:space="preserve"> 5.2 特殊情况下，</w:t>
      </w:r>
      <w:r>
        <w:rPr>
          <w:rFonts w:hint="eastAsia" w:ascii="微软雅黑" w:hAnsi="微软雅黑" w:eastAsia="微软雅黑" w:cs="宋体"/>
          <w:color w:val="000000"/>
          <w:sz w:val="24"/>
          <w:lang w:eastAsia="zh-CN"/>
        </w:rPr>
        <w:t>采购人</w:t>
      </w:r>
      <w:r>
        <w:rPr>
          <w:rFonts w:hint="eastAsia" w:ascii="微软雅黑" w:hAnsi="微软雅黑" w:eastAsia="微软雅黑" w:cs="宋体"/>
          <w:color w:val="000000"/>
          <w:sz w:val="24"/>
        </w:rPr>
        <w:t>可于</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有效期满之前要求</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同意延长有效期，要求与答复均应为书面形式。</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可以拒绝上述要求，其</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保证金</w:t>
      </w:r>
      <w:r>
        <w:rPr>
          <w:rFonts w:hint="eastAsia" w:ascii="微软雅黑" w:hAnsi="微软雅黑" w:eastAsia="微软雅黑" w:cs="宋体"/>
          <w:color w:val="000000"/>
          <w:spacing w:val="8"/>
          <w:sz w:val="24"/>
        </w:rPr>
        <w:t>不被没收。</w:t>
      </w:r>
      <w:r>
        <w:rPr>
          <w:rFonts w:hint="eastAsia" w:ascii="微软雅黑" w:hAnsi="微软雅黑" w:eastAsia="微软雅黑" w:cs="宋体"/>
          <w:color w:val="000000"/>
          <w:sz w:val="24"/>
        </w:rPr>
        <w:t>拒绝延长</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有效期的</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不得再参与该项目后续采购活动。同意延长</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有效期的</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不能修改其</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，关于</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保证金的有关规定在延长的</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有效期内继续有效。</w:t>
      </w:r>
    </w:p>
    <w:p>
      <w:pPr>
        <w:pStyle w:val="4"/>
        <w:tabs>
          <w:tab w:val="left" w:pos="3480"/>
        </w:tabs>
        <w:spacing w:line="400" w:lineRule="exact"/>
        <w:rPr>
          <w:rFonts w:ascii="微软雅黑" w:hAnsi="微软雅黑" w:eastAsia="微软雅黑" w:cs="宋体"/>
          <w:bCs w:val="0"/>
          <w:color w:val="000000"/>
          <w:sz w:val="24"/>
        </w:rPr>
      </w:pPr>
      <w:bookmarkStart w:id="40" w:name="_Toc508133966"/>
      <w:r>
        <w:rPr>
          <w:rFonts w:hint="eastAsia" w:ascii="微软雅黑" w:hAnsi="微软雅黑" w:eastAsia="微软雅黑" w:cs="宋体"/>
          <w:bCs w:val="0"/>
          <w:color w:val="000000"/>
          <w:sz w:val="24"/>
        </w:rPr>
        <w:t>6</w:t>
      </w:r>
      <w:r>
        <w:rPr>
          <w:rFonts w:hint="eastAsia" w:ascii="微软雅黑" w:hAnsi="微软雅黑" w:eastAsia="微软雅黑" w:cs="宋体"/>
          <w:color w:val="000000"/>
          <w:sz w:val="24"/>
          <w:szCs w:val="24"/>
        </w:rPr>
        <w:t xml:space="preserve">. </w:t>
      </w:r>
      <w:r>
        <w:rPr>
          <w:rFonts w:hint="eastAsia" w:ascii="微软雅黑" w:hAnsi="微软雅黑" w:eastAsia="微软雅黑" w:cs="宋体"/>
          <w:bCs w:val="0"/>
          <w:color w:val="000000"/>
          <w:sz w:val="24"/>
          <w:lang w:eastAsia="zh-CN"/>
        </w:rPr>
        <w:t>响应文件</w:t>
      </w:r>
      <w:r>
        <w:rPr>
          <w:rFonts w:hint="eastAsia" w:ascii="微软雅黑" w:hAnsi="微软雅黑" w:eastAsia="微软雅黑" w:cs="宋体"/>
          <w:bCs w:val="0"/>
          <w:color w:val="000000"/>
          <w:sz w:val="24"/>
        </w:rPr>
        <w:t>的印制和签署</w:t>
      </w:r>
      <w:bookmarkEnd w:id="37"/>
      <w:bookmarkEnd w:id="38"/>
      <w:bookmarkEnd w:id="39"/>
      <w:bookmarkEnd w:id="40"/>
    </w:p>
    <w:p>
      <w:pPr>
        <w:tabs>
          <w:tab w:val="left" w:pos="1080"/>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 xml:space="preserve">6.1 </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应当准备</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正本</w:t>
      </w:r>
      <w:r>
        <w:rPr>
          <w:rFonts w:hint="eastAsia" w:ascii="微软雅黑" w:hAnsi="微软雅黑" w:eastAsia="微软雅黑" w:cs="宋体"/>
          <w:color w:val="000000"/>
          <w:sz w:val="24"/>
          <w:u w:val="single"/>
        </w:rPr>
        <w:t>1</w:t>
      </w:r>
      <w:r>
        <w:rPr>
          <w:rFonts w:hint="eastAsia" w:ascii="微软雅黑" w:hAnsi="微软雅黑" w:eastAsia="微软雅黑" w:cs="宋体"/>
          <w:color w:val="000000"/>
          <w:sz w:val="24"/>
        </w:rPr>
        <w:t>份</w:t>
      </w:r>
      <w:r>
        <w:rPr>
          <w:rFonts w:hint="eastAsia" w:ascii="微软雅黑" w:hAnsi="微软雅黑" w:eastAsia="微软雅黑" w:cs="宋体"/>
          <w:sz w:val="24"/>
        </w:rPr>
        <w:t>、副本</w:t>
      </w:r>
      <w:r>
        <w:rPr>
          <w:rFonts w:hint="eastAsia" w:ascii="微软雅黑" w:hAnsi="微软雅黑" w:eastAsia="微软雅黑" w:cs="宋体"/>
          <w:sz w:val="24"/>
          <w:u w:val="single"/>
        </w:rPr>
        <w:t>2</w:t>
      </w:r>
      <w:r>
        <w:rPr>
          <w:rFonts w:hint="eastAsia" w:ascii="微软雅黑" w:hAnsi="微软雅黑" w:eastAsia="微软雅黑" w:cs="宋体"/>
          <w:sz w:val="24"/>
        </w:rPr>
        <w:t>份</w:t>
      </w:r>
      <w:r>
        <w:rPr>
          <w:rFonts w:hint="eastAsia" w:ascii="微软雅黑" w:hAnsi="微软雅黑" w:eastAsia="微软雅黑" w:cs="宋体"/>
          <w:color w:val="000000"/>
          <w:sz w:val="24"/>
        </w:rPr>
        <w:t>。</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的正本和副本应在其封面右上角清楚地标明“正本”或“副本”字样。若正本和副本有不一致的内容，以正本书面</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为准。</w:t>
      </w:r>
    </w:p>
    <w:p>
      <w:pPr>
        <w:tabs>
          <w:tab w:val="left" w:pos="1095"/>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 xml:space="preserve">6.2 </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的正本和副本均需打印或用不褪色、不变质的墨水书写，并由</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的法定代表人或其授权代表在规定签章处签字和盖章。</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副本可采用正本的复印件。</w:t>
      </w:r>
    </w:p>
    <w:p>
      <w:pPr>
        <w:tabs>
          <w:tab w:val="left" w:pos="1080"/>
        </w:tabs>
        <w:spacing w:line="360" w:lineRule="auto"/>
        <w:ind w:firstLine="460" w:firstLineChars="192"/>
        <w:rPr>
          <w:rFonts w:hint="eastAsia" w:ascii="微软雅黑" w:hAnsi="微软雅黑" w:eastAsia="微软雅黑" w:cs="宋体"/>
          <w:color w:val="000000"/>
          <w:sz w:val="24"/>
        </w:rPr>
      </w:pPr>
      <w:r>
        <w:rPr>
          <w:rFonts w:hint="eastAsia" w:ascii="微软雅黑" w:hAnsi="微软雅黑" w:eastAsia="微软雅黑" w:cs="宋体"/>
          <w:color w:val="000000"/>
          <w:sz w:val="24"/>
        </w:rPr>
        <w:t xml:space="preserve">6.3 </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统一用A4幅面纸印制</w:t>
      </w:r>
      <w:r>
        <w:rPr>
          <w:rFonts w:hint="eastAsia" w:ascii="微软雅黑" w:hAnsi="微软雅黑" w:eastAsia="微软雅黑" w:cs="宋体"/>
          <w:b/>
          <w:bCs/>
          <w:color w:val="000000"/>
          <w:sz w:val="24"/>
          <w:lang w:eastAsia="zh-CN"/>
        </w:rPr>
        <w:t>，</w:t>
      </w:r>
      <w:r>
        <w:rPr>
          <w:rFonts w:hint="eastAsia" w:ascii="微软雅黑" w:hAnsi="微软雅黑" w:eastAsia="微软雅黑" w:cs="宋体"/>
          <w:b/>
          <w:bCs/>
          <w:color w:val="000000"/>
          <w:sz w:val="24"/>
          <w:lang w:val="en-US" w:eastAsia="zh-CN"/>
        </w:rPr>
        <w:t>装订采用无线胶装</w:t>
      </w:r>
      <w:r>
        <w:rPr>
          <w:rFonts w:hint="eastAsia" w:ascii="微软雅黑" w:hAnsi="微软雅黑" w:eastAsia="微软雅黑" w:cs="宋体"/>
          <w:b/>
          <w:bCs/>
          <w:color w:val="000000"/>
          <w:sz w:val="24"/>
        </w:rPr>
        <w:t>。</w:t>
      </w:r>
    </w:p>
    <w:p>
      <w:pPr>
        <w:tabs>
          <w:tab w:val="left" w:pos="1080"/>
        </w:tabs>
        <w:spacing w:line="360" w:lineRule="auto"/>
        <w:ind w:firstLine="460" w:firstLineChars="192"/>
        <w:rPr>
          <w:rFonts w:hint="eastAsia" w:ascii="微软雅黑" w:hAnsi="微软雅黑" w:eastAsia="微软雅黑" w:cs="宋体"/>
          <w:color w:val="000000"/>
          <w:sz w:val="24"/>
        </w:rPr>
      </w:pPr>
      <w:r>
        <w:rPr>
          <w:rFonts w:hint="eastAsia" w:ascii="微软雅黑" w:hAnsi="微软雅黑" w:eastAsia="微软雅黑" w:cs="宋体"/>
          <w:color w:val="000000"/>
          <w:sz w:val="24"/>
        </w:rPr>
        <w:t xml:space="preserve">6.4 </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的打印和书写应清楚工整，任何行间插字、涂改或增删，必须由</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的法定代表人或其授权代表签字或盖个人印鉴。字迹潦草、表达不清或可能导致非唯一理解的</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可能视为无效</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w:t>
      </w:r>
    </w:p>
    <w:p>
      <w:pPr>
        <w:pStyle w:val="4"/>
        <w:tabs>
          <w:tab w:val="left" w:pos="3480"/>
        </w:tabs>
        <w:spacing w:line="400" w:lineRule="exact"/>
        <w:rPr>
          <w:rFonts w:ascii="微软雅黑" w:hAnsi="微软雅黑" w:eastAsia="微软雅黑" w:cs="宋体"/>
          <w:b/>
          <w:color w:val="000000"/>
          <w:sz w:val="24"/>
        </w:rPr>
      </w:pPr>
      <w:bookmarkStart w:id="41" w:name="_Toc89075877"/>
      <w:bookmarkStart w:id="42" w:name="_Toc183682363"/>
      <w:bookmarkStart w:id="43" w:name="_Toc77400781"/>
      <w:bookmarkStart w:id="44" w:name="_Toc183582226"/>
      <w:bookmarkStart w:id="45" w:name="_Toc217446053"/>
      <w:r>
        <w:rPr>
          <w:rFonts w:hint="eastAsia" w:ascii="微软雅黑" w:hAnsi="微软雅黑" w:eastAsia="微软雅黑" w:cs="宋体"/>
          <w:b/>
          <w:color w:val="000000"/>
          <w:sz w:val="24"/>
        </w:rPr>
        <w:t xml:space="preserve">7. </w:t>
      </w:r>
      <w:r>
        <w:rPr>
          <w:rFonts w:hint="eastAsia" w:ascii="微软雅黑" w:hAnsi="微软雅黑" w:eastAsia="微软雅黑" w:cs="宋体"/>
          <w:b/>
          <w:color w:val="000000"/>
          <w:sz w:val="24"/>
          <w:lang w:eastAsia="zh-CN"/>
        </w:rPr>
        <w:t>响应文件</w:t>
      </w:r>
      <w:r>
        <w:rPr>
          <w:rFonts w:hint="eastAsia" w:ascii="微软雅黑" w:hAnsi="微软雅黑" w:eastAsia="微软雅黑" w:cs="宋体"/>
          <w:b/>
          <w:color w:val="000000"/>
          <w:sz w:val="24"/>
        </w:rPr>
        <w:t>的</w:t>
      </w:r>
      <w:r>
        <w:rPr>
          <w:rFonts w:hint="eastAsia" w:ascii="微软雅黑" w:hAnsi="微软雅黑" w:eastAsia="微软雅黑" w:cs="宋体"/>
          <w:bCs w:val="0"/>
          <w:color w:val="000000"/>
          <w:sz w:val="24"/>
          <w:lang w:eastAsia="zh-CN"/>
        </w:rPr>
        <w:t>密封</w:t>
      </w:r>
      <w:r>
        <w:rPr>
          <w:rFonts w:hint="eastAsia" w:ascii="微软雅黑" w:hAnsi="微软雅黑" w:eastAsia="微软雅黑" w:cs="宋体"/>
          <w:b/>
          <w:color w:val="000000"/>
          <w:sz w:val="24"/>
        </w:rPr>
        <w:t>和标</w:t>
      </w:r>
      <w:bookmarkEnd w:id="41"/>
      <w:bookmarkEnd w:id="42"/>
      <w:bookmarkEnd w:id="43"/>
      <w:bookmarkEnd w:id="44"/>
      <w:r>
        <w:rPr>
          <w:rFonts w:hint="eastAsia" w:ascii="微软雅黑" w:hAnsi="微软雅黑" w:eastAsia="微软雅黑" w:cs="宋体"/>
          <w:b/>
          <w:color w:val="000000"/>
          <w:sz w:val="24"/>
        </w:rPr>
        <w:t>注</w:t>
      </w:r>
      <w:bookmarkEnd w:id="45"/>
    </w:p>
    <w:p>
      <w:pPr>
        <w:tabs>
          <w:tab w:val="left" w:pos="1080"/>
        </w:tabs>
        <w:spacing w:line="360" w:lineRule="auto"/>
        <w:rPr>
          <w:rFonts w:ascii="微软雅黑" w:hAnsi="微软雅黑" w:eastAsia="微软雅黑" w:cs="宋体"/>
          <w:color w:val="000000"/>
          <w:sz w:val="24"/>
        </w:rPr>
      </w:pPr>
      <w:r>
        <w:rPr>
          <w:rFonts w:hint="eastAsia" w:ascii="微软雅黑" w:hAnsi="微软雅黑" w:eastAsia="微软雅黑" w:cs="宋体"/>
          <w:b/>
          <w:color w:val="000000"/>
          <w:sz w:val="28"/>
          <w:szCs w:val="28"/>
        </w:rPr>
        <w:t xml:space="preserve">   </w:t>
      </w:r>
      <w:r>
        <w:rPr>
          <w:rFonts w:hint="eastAsia" w:ascii="微软雅黑" w:hAnsi="微软雅黑" w:eastAsia="微软雅黑" w:cs="宋体"/>
          <w:color w:val="000000"/>
          <w:sz w:val="24"/>
        </w:rPr>
        <w:t xml:space="preserve">7.1 </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应在</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正本和所有副本的封面上注明</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名称、项目名称。</w:t>
      </w:r>
    </w:p>
    <w:p>
      <w:pPr>
        <w:tabs>
          <w:tab w:val="left" w:pos="1080"/>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 xml:space="preserve">7.2 </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正本、所有副本封装于同一密封袋内，密封袋上应注明</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名称、</w:t>
      </w:r>
      <w:bookmarkStart w:id="150" w:name="_GoBack"/>
      <w:bookmarkEnd w:id="150"/>
      <w:r>
        <w:rPr>
          <w:rFonts w:hint="eastAsia" w:ascii="微软雅黑" w:hAnsi="微软雅黑" w:eastAsia="微软雅黑" w:cs="宋体"/>
          <w:color w:val="000000"/>
          <w:sz w:val="24"/>
        </w:rPr>
        <w:t>项目名称</w:t>
      </w:r>
      <w:r>
        <w:rPr>
          <w:rFonts w:hint="eastAsia" w:ascii="微软雅黑" w:hAnsi="微软雅黑" w:eastAsia="微软雅黑" w:cs="宋体"/>
          <w:color w:val="000000"/>
          <w:sz w:val="24"/>
          <w:lang w:eastAsia="zh-CN"/>
        </w:rPr>
        <w:t>，</w:t>
      </w:r>
      <w:r>
        <w:rPr>
          <w:rFonts w:hint="eastAsia" w:ascii="微软雅黑" w:hAnsi="微软雅黑" w:eastAsia="微软雅黑" w:cs="宋体"/>
          <w:color w:val="000000" w:themeColor="text1"/>
          <w:sz w:val="24"/>
          <w:lang w:val="en-US" w:eastAsia="zh-CN"/>
          <w14:textFill>
            <w14:solidFill>
              <w14:schemeClr w14:val="tx1"/>
            </w14:solidFill>
          </w14:textFill>
        </w:rPr>
        <w:t>并明确于*年*月*日*时前不得开启字样</w:t>
      </w:r>
      <w:r>
        <w:rPr>
          <w:rFonts w:hint="eastAsia" w:ascii="微软雅黑" w:hAnsi="微软雅黑" w:eastAsia="微软雅黑" w:cs="宋体"/>
          <w:color w:val="000000" w:themeColor="text1"/>
          <w:sz w:val="24"/>
          <w14:textFill>
            <w14:solidFill>
              <w14:schemeClr w14:val="tx1"/>
            </w14:solidFill>
          </w14:textFill>
        </w:rPr>
        <w:t>。</w:t>
      </w:r>
    </w:p>
    <w:p>
      <w:pPr>
        <w:tabs>
          <w:tab w:val="left" w:pos="1080"/>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7.3 所有外层密封袋的封口处应粘贴牢固，并加盖密封章（</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印章）。</w:t>
      </w:r>
    </w:p>
    <w:p>
      <w:pPr>
        <w:tabs>
          <w:tab w:val="left" w:pos="1080"/>
        </w:tabs>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7.4 未按以上要求进行密封和标注的</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将被拒绝。</w:t>
      </w:r>
    </w:p>
    <w:p>
      <w:pPr>
        <w:pStyle w:val="4"/>
        <w:tabs>
          <w:tab w:val="left" w:pos="3480"/>
        </w:tabs>
        <w:spacing w:line="400" w:lineRule="exact"/>
        <w:rPr>
          <w:rFonts w:ascii="微软雅黑" w:hAnsi="微软雅黑" w:eastAsia="微软雅黑" w:cs="宋体"/>
          <w:b/>
          <w:color w:val="000000"/>
          <w:sz w:val="24"/>
        </w:rPr>
      </w:pPr>
      <w:bookmarkStart w:id="46" w:name="_Toc183582227"/>
      <w:bookmarkStart w:id="47" w:name="_Toc183682364"/>
      <w:bookmarkStart w:id="48" w:name="_Toc217446054"/>
      <w:r>
        <w:rPr>
          <w:rFonts w:hint="eastAsia" w:ascii="微软雅黑" w:hAnsi="微软雅黑" w:eastAsia="微软雅黑" w:cs="宋体"/>
          <w:b/>
          <w:color w:val="000000"/>
          <w:sz w:val="24"/>
        </w:rPr>
        <w:t xml:space="preserve">8. </w:t>
      </w:r>
      <w:r>
        <w:rPr>
          <w:rFonts w:hint="eastAsia" w:ascii="微软雅黑" w:hAnsi="微软雅黑" w:eastAsia="微软雅黑" w:cs="宋体"/>
          <w:b/>
          <w:color w:val="000000"/>
          <w:sz w:val="24"/>
          <w:lang w:eastAsia="zh-CN"/>
        </w:rPr>
        <w:t>响应</w:t>
      </w:r>
      <w:r>
        <w:rPr>
          <w:rFonts w:hint="eastAsia" w:ascii="微软雅黑" w:hAnsi="微软雅黑" w:eastAsia="微软雅黑" w:cs="宋体"/>
          <w:bCs w:val="0"/>
          <w:color w:val="000000"/>
          <w:sz w:val="24"/>
          <w:lang w:eastAsia="zh-CN"/>
        </w:rPr>
        <w:t>文件</w:t>
      </w:r>
      <w:r>
        <w:rPr>
          <w:rFonts w:hint="eastAsia" w:ascii="微软雅黑" w:hAnsi="微软雅黑" w:eastAsia="微软雅黑" w:cs="宋体"/>
          <w:b/>
          <w:color w:val="000000"/>
          <w:sz w:val="24"/>
        </w:rPr>
        <w:t>的</w:t>
      </w:r>
      <w:bookmarkEnd w:id="46"/>
      <w:bookmarkEnd w:id="47"/>
      <w:r>
        <w:rPr>
          <w:rFonts w:hint="eastAsia" w:ascii="微软雅黑" w:hAnsi="微软雅黑" w:eastAsia="微软雅黑" w:cs="宋体"/>
          <w:b/>
          <w:color w:val="000000"/>
          <w:sz w:val="24"/>
        </w:rPr>
        <w:t>递交</w:t>
      </w:r>
      <w:bookmarkEnd w:id="48"/>
    </w:p>
    <w:p>
      <w:pPr>
        <w:tabs>
          <w:tab w:val="left" w:pos="1095"/>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 xml:space="preserve">8.1 </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应在</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文件规定的</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截止时间前，将</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按</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须知规定密封后送达开标地点。</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截止时间以后送达的</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将被拒绝。</w:t>
      </w:r>
    </w:p>
    <w:p>
      <w:pPr>
        <w:tabs>
          <w:tab w:val="left" w:pos="1080"/>
        </w:tabs>
        <w:spacing w:line="360" w:lineRule="auto"/>
        <w:ind w:firstLine="460" w:firstLineChars="192"/>
        <w:rPr>
          <w:rFonts w:hint="eastAsia" w:ascii="微软雅黑" w:hAnsi="微软雅黑" w:eastAsia="微软雅黑" w:cs="宋体"/>
          <w:color w:val="000000"/>
          <w:sz w:val="24"/>
        </w:rPr>
      </w:pPr>
      <w:r>
        <w:rPr>
          <w:rFonts w:hint="eastAsia" w:ascii="微软雅黑" w:hAnsi="微软雅黑" w:eastAsia="微软雅黑" w:cs="宋体"/>
          <w:color w:val="000000"/>
          <w:sz w:val="24"/>
        </w:rPr>
        <w:t>8.2 本次</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不接受邮寄的</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w:t>
      </w:r>
      <w:bookmarkStart w:id="49" w:name="_Toc217446064"/>
      <w:bookmarkStart w:id="50" w:name="_Toc183582240"/>
      <w:bookmarkStart w:id="51" w:name="_Toc183682377"/>
    </w:p>
    <w:p>
      <w:pPr>
        <w:pStyle w:val="4"/>
        <w:tabs>
          <w:tab w:val="left" w:pos="3480"/>
        </w:tabs>
        <w:spacing w:line="400" w:lineRule="exact"/>
        <w:rPr>
          <w:rFonts w:ascii="微软雅黑" w:hAnsi="微软雅黑" w:eastAsia="微软雅黑"/>
          <w:b/>
          <w:sz w:val="24"/>
        </w:rPr>
      </w:pPr>
      <w:bookmarkStart w:id="52" w:name="_Toc437905272"/>
      <w:r>
        <w:rPr>
          <w:rFonts w:hint="eastAsia" w:ascii="微软雅黑" w:hAnsi="微软雅黑" w:eastAsia="微软雅黑" w:cs="宋体"/>
          <w:b/>
          <w:color w:val="000000"/>
          <w:sz w:val="24"/>
        </w:rPr>
        <w:t xml:space="preserve">9. </w:t>
      </w:r>
      <w:r>
        <w:rPr>
          <w:rFonts w:hint="eastAsia" w:ascii="微软雅黑" w:hAnsi="微软雅黑" w:eastAsia="微软雅黑"/>
          <w:b/>
          <w:sz w:val="24"/>
        </w:rPr>
        <w:t>充分公平竞争保障措施</w:t>
      </w:r>
      <w:bookmarkEnd w:id="52"/>
    </w:p>
    <w:p>
      <w:pPr>
        <w:ind w:firstLine="560"/>
        <w:rPr>
          <w:rFonts w:ascii="微软雅黑" w:hAnsi="微软雅黑" w:eastAsia="微软雅黑" w:cs="宋体"/>
          <w:color w:val="000000"/>
          <w:sz w:val="24"/>
        </w:rPr>
      </w:pPr>
      <w:r>
        <w:rPr>
          <w:rFonts w:hint="eastAsia" w:ascii="微软雅黑" w:hAnsi="微软雅黑" w:eastAsia="微软雅黑" w:cs="宋体"/>
          <w:color w:val="000000"/>
          <w:sz w:val="24"/>
        </w:rPr>
        <w:t>总公司、分公司不能以不同的供应商身份同时参加</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；同一家制造厂商同一型号的软件系统产品，不能授权多家分公司、</w:t>
      </w:r>
      <w:r>
        <w:rPr>
          <w:rFonts w:ascii="微软雅黑" w:hAnsi="微软雅黑" w:eastAsia="微软雅黑" w:cs="宋体"/>
          <w:color w:val="000000"/>
          <w:sz w:val="24"/>
        </w:rPr>
        <w:t>分销商或经销商或代理商</w:t>
      </w:r>
      <w:r>
        <w:rPr>
          <w:rFonts w:hint="eastAsia" w:ascii="微软雅黑" w:hAnsi="微软雅黑" w:eastAsia="微软雅黑" w:cs="宋体"/>
          <w:color w:val="000000"/>
          <w:sz w:val="24"/>
        </w:rPr>
        <w:t>参加</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；以上情况参加</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的也不能作为有效</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w:t>
      </w:r>
    </w:p>
    <w:p>
      <w:pPr>
        <w:tabs>
          <w:tab w:val="left" w:pos="1080"/>
        </w:tabs>
        <w:spacing w:line="360" w:lineRule="auto"/>
        <w:ind w:firstLine="403" w:firstLineChars="192"/>
        <w:rPr>
          <w:rFonts w:ascii="微软雅黑" w:hAnsi="微软雅黑" w:eastAsia="微软雅黑" w:cs="宋体"/>
          <w:b/>
          <w:bCs/>
          <w:color w:val="000000"/>
          <w:sz w:val="32"/>
          <w:szCs w:val="32"/>
        </w:rPr>
      </w:pPr>
      <w:r>
        <w:rPr>
          <w:rFonts w:ascii="微软雅黑" w:hAnsi="微软雅黑" w:eastAsia="微软雅黑" w:cs="宋体"/>
          <w:color w:val="000000"/>
        </w:rPr>
        <w:br w:type="page"/>
      </w:r>
    </w:p>
    <w:p>
      <w:pPr>
        <w:pStyle w:val="3"/>
        <w:tabs>
          <w:tab w:val="left" w:pos="7665"/>
        </w:tabs>
        <w:spacing w:line="400" w:lineRule="exact"/>
        <w:jc w:val="center"/>
        <w:rPr>
          <w:rFonts w:ascii="微软雅黑" w:hAnsi="微软雅黑" w:eastAsia="微软雅黑" w:cs="宋体"/>
          <w:color w:val="000000"/>
        </w:rPr>
      </w:pPr>
      <w:bookmarkStart w:id="53" w:name="_Toc508133967"/>
      <w:r>
        <w:rPr>
          <w:rFonts w:hint="eastAsia" w:ascii="微软雅黑" w:hAnsi="微软雅黑" w:eastAsia="微软雅黑" w:cs="宋体"/>
          <w:color w:val="000000"/>
        </w:rPr>
        <w:t>三、签订及履行合同和验收</w:t>
      </w:r>
      <w:bookmarkEnd w:id="49"/>
      <w:bookmarkEnd w:id="53"/>
    </w:p>
    <w:p>
      <w:pPr>
        <w:pStyle w:val="4"/>
        <w:spacing w:line="400" w:lineRule="exact"/>
        <w:rPr>
          <w:rFonts w:ascii="微软雅黑" w:hAnsi="微软雅黑" w:eastAsia="微软雅黑" w:cs="宋体"/>
          <w:bCs w:val="0"/>
          <w:color w:val="000000"/>
          <w:sz w:val="24"/>
        </w:rPr>
      </w:pPr>
      <w:bookmarkStart w:id="54" w:name="_Toc217446065"/>
      <w:bookmarkStart w:id="55" w:name="_Toc508133968"/>
      <w:r>
        <w:rPr>
          <w:rFonts w:hint="eastAsia" w:ascii="微软雅黑" w:hAnsi="微软雅黑" w:eastAsia="微软雅黑" w:cs="宋体"/>
          <w:bCs w:val="0"/>
          <w:color w:val="000000"/>
          <w:sz w:val="24"/>
        </w:rPr>
        <w:t>1. 签订合同</w:t>
      </w:r>
      <w:bookmarkEnd w:id="54"/>
      <w:bookmarkEnd w:id="55"/>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1.1由于</w:t>
      </w:r>
      <w:r>
        <w:rPr>
          <w:rFonts w:hint="eastAsia" w:ascii="微软雅黑" w:hAnsi="微软雅黑" w:eastAsia="微软雅黑" w:cs="宋体"/>
          <w:color w:val="000000"/>
          <w:sz w:val="24"/>
          <w:lang w:eastAsia="zh-CN"/>
        </w:rPr>
        <w:t>成交</w:t>
      </w:r>
      <w:r>
        <w:rPr>
          <w:rFonts w:hint="eastAsia" w:ascii="微软雅黑" w:hAnsi="微软雅黑" w:eastAsia="微软雅黑" w:cs="宋体"/>
          <w:color w:val="000000"/>
          <w:sz w:val="24"/>
        </w:rPr>
        <w:t>人的原因逾期未与</w:t>
      </w:r>
      <w:r>
        <w:rPr>
          <w:rFonts w:hint="eastAsia" w:ascii="微软雅黑" w:hAnsi="微软雅黑" w:eastAsia="微软雅黑" w:cs="宋体"/>
          <w:color w:val="000000"/>
          <w:sz w:val="24"/>
          <w:lang w:eastAsia="zh-CN"/>
        </w:rPr>
        <w:t>采购人</w:t>
      </w:r>
      <w:r>
        <w:rPr>
          <w:rFonts w:hint="eastAsia" w:ascii="微软雅黑" w:hAnsi="微软雅黑" w:eastAsia="微软雅黑" w:cs="宋体"/>
          <w:color w:val="000000"/>
          <w:sz w:val="24"/>
        </w:rPr>
        <w:t>签订采购合同的，将视为放弃</w:t>
      </w:r>
      <w:r>
        <w:rPr>
          <w:rFonts w:hint="eastAsia" w:ascii="微软雅黑" w:hAnsi="微软雅黑" w:eastAsia="微软雅黑" w:cs="宋体"/>
          <w:color w:val="000000"/>
          <w:sz w:val="24"/>
          <w:lang w:eastAsia="zh-CN"/>
        </w:rPr>
        <w:t>成交</w:t>
      </w:r>
      <w:r>
        <w:rPr>
          <w:rFonts w:hint="eastAsia" w:ascii="微软雅黑" w:hAnsi="微软雅黑" w:eastAsia="微软雅黑" w:cs="宋体"/>
          <w:color w:val="000000"/>
          <w:sz w:val="24"/>
        </w:rPr>
        <w:t>，取消其</w:t>
      </w:r>
      <w:r>
        <w:rPr>
          <w:rFonts w:hint="eastAsia" w:ascii="微软雅黑" w:hAnsi="微软雅黑" w:eastAsia="微软雅黑" w:cs="宋体"/>
          <w:color w:val="000000"/>
          <w:sz w:val="24"/>
          <w:lang w:eastAsia="zh-CN"/>
        </w:rPr>
        <w:t>成交</w:t>
      </w:r>
      <w:r>
        <w:rPr>
          <w:rFonts w:hint="eastAsia" w:ascii="微软雅黑" w:hAnsi="微软雅黑" w:eastAsia="微软雅黑" w:cs="宋体"/>
          <w:color w:val="000000"/>
          <w:sz w:val="24"/>
        </w:rPr>
        <w:t>资格并将按相关规定进行处理。</w:t>
      </w:r>
    </w:p>
    <w:p>
      <w:pPr>
        <w:spacing w:line="360" w:lineRule="auto"/>
        <w:ind w:firstLine="420" w:firstLineChars="175"/>
        <w:rPr>
          <w:rFonts w:ascii="微软雅黑" w:hAnsi="微软雅黑" w:eastAsia="微软雅黑" w:cs="宋体"/>
          <w:color w:val="000000"/>
          <w:sz w:val="24"/>
        </w:rPr>
      </w:pPr>
      <w:r>
        <w:rPr>
          <w:rFonts w:hint="eastAsia" w:ascii="微软雅黑" w:hAnsi="微软雅黑" w:eastAsia="微软雅黑" w:cs="宋体"/>
          <w:color w:val="000000"/>
          <w:sz w:val="24"/>
        </w:rPr>
        <w:t xml:space="preserve">1.2 </w:t>
      </w:r>
      <w:r>
        <w:rPr>
          <w:rFonts w:hint="eastAsia" w:ascii="微软雅黑" w:hAnsi="微软雅黑" w:eastAsia="微软雅黑" w:cs="宋体"/>
          <w:color w:val="000000"/>
          <w:sz w:val="24"/>
          <w:lang w:eastAsia="zh-CN"/>
        </w:rPr>
        <w:t>采购人</w:t>
      </w:r>
      <w:r>
        <w:rPr>
          <w:rFonts w:hint="eastAsia" w:ascii="微软雅黑" w:hAnsi="微软雅黑" w:eastAsia="微软雅黑" w:cs="宋体"/>
          <w:color w:val="000000"/>
          <w:sz w:val="24"/>
        </w:rPr>
        <w:t>不得向</w:t>
      </w:r>
      <w:r>
        <w:rPr>
          <w:rFonts w:hint="eastAsia" w:ascii="微软雅黑" w:hAnsi="微软雅黑" w:eastAsia="微软雅黑" w:cs="宋体"/>
          <w:color w:val="000000"/>
          <w:sz w:val="24"/>
          <w:lang w:eastAsia="zh-CN"/>
        </w:rPr>
        <w:t>成交</w:t>
      </w:r>
      <w:r>
        <w:rPr>
          <w:rFonts w:hint="eastAsia" w:ascii="微软雅黑" w:hAnsi="微软雅黑" w:eastAsia="微软雅黑" w:cs="宋体"/>
          <w:color w:val="000000"/>
          <w:sz w:val="24"/>
        </w:rPr>
        <w:t>人提出任何不合理的要求作为签订合同的条件，不得与</w:t>
      </w:r>
      <w:r>
        <w:rPr>
          <w:rFonts w:hint="eastAsia" w:ascii="微软雅黑" w:hAnsi="微软雅黑" w:eastAsia="微软雅黑" w:cs="宋体"/>
          <w:color w:val="000000"/>
          <w:sz w:val="24"/>
          <w:lang w:eastAsia="zh-CN"/>
        </w:rPr>
        <w:t>成交</w:t>
      </w:r>
      <w:r>
        <w:rPr>
          <w:rFonts w:hint="eastAsia" w:ascii="微软雅黑" w:hAnsi="微软雅黑" w:eastAsia="微软雅黑" w:cs="宋体"/>
          <w:color w:val="000000"/>
          <w:sz w:val="24"/>
        </w:rPr>
        <w:t>人私下订立背离合同实质性内容的任何协议，所签订的合同不得对</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文件和</w:t>
      </w:r>
      <w:r>
        <w:rPr>
          <w:rFonts w:hint="eastAsia" w:ascii="微软雅黑" w:hAnsi="微软雅黑" w:eastAsia="微软雅黑" w:cs="宋体"/>
          <w:color w:val="000000"/>
          <w:sz w:val="24"/>
          <w:lang w:eastAsia="zh-CN"/>
        </w:rPr>
        <w:t>成交</w:t>
      </w:r>
      <w:r>
        <w:rPr>
          <w:rFonts w:hint="eastAsia" w:ascii="微软雅黑" w:hAnsi="微软雅黑" w:eastAsia="微软雅黑" w:cs="宋体"/>
          <w:color w:val="000000"/>
          <w:sz w:val="24"/>
        </w:rPr>
        <w:t>人</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作实质性修改。</w:t>
      </w:r>
    </w:p>
    <w:p>
      <w:pPr>
        <w:pStyle w:val="4"/>
        <w:spacing w:line="400" w:lineRule="exact"/>
        <w:rPr>
          <w:rFonts w:ascii="微软雅黑" w:hAnsi="微软雅黑" w:eastAsia="微软雅黑" w:cs="宋体"/>
          <w:bCs w:val="0"/>
          <w:color w:val="000000"/>
          <w:sz w:val="24"/>
        </w:rPr>
      </w:pPr>
      <w:bookmarkStart w:id="56" w:name="_Toc217446066"/>
      <w:bookmarkStart w:id="57" w:name="_Toc508133969"/>
      <w:r>
        <w:rPr>
          <w:rFonts w:hint="eastAsia" w:ascii="微软雅黑" w:hAnsi="微软雅黑" w:eastAsia="微软雅黑" w:cs="宋体"/>
          <w:bCs w:val="0"/>
          <w:color w:val="000000"/>
          <w:sz w:val="24"/>
        </w:rPr>
        <w:t xml:space="preserve">2. </w:t>
      </w:r>
      <w:bookmarkEnd w:id="56"/>
      <w:bookmarkStart w:id="58" w:name="_Toc217446067"/>
      <w:r>
        <w:rPr>
          <w:rFonts w:hint="eastAsia" w:ascii="微软雅黑" w:hAnsi="微软雅黑" w:eastAsia="微软雅黑" w:cs="宋体"/>
          <w:bCs w:val="0"/>
          <w:color w:val="000000"/>
          <w:sz w:val="24"/>
          <w:lang w:eastAsia="zh-CN"/>
        </w:rPr>
        <w:t>采购人</w:t>
      </w:r>
      <w:r>
        <w:rPr>
          <w:rFonts w:hint="eastAsia" w:ascii="微软雅黑" w:hAnsi="微软雅黑" w:eastAsia="微软雅黑" w:cs="宋体"/>
          <w:bCs w:val="0"/>
          <w:color w:val="000000"/>
          <w:sz w:val="24"/>
        </w:rPr>
        <w:t>增加合同标的权</w:t>
      </w:r>
      <w:bookmarkEnd w:id="58"/>
      <w:r>
        <w:rPr>
          <w:rFonts w:hint="eastAsia" w:ascii="微软雅黑" w:hAnsi="微软雅黑" w:eastAsia="微软雅黑" w:cs="宋体"/>
          <w:bCs w:val="0"/>
          <w:color w:val="000000"/>
          <w:sz w:val="24"/>
        </w:rPr>
        <w:t>利</w:t>
      </w:r>
      <w:bookmarkEnd w:id="57"/>
    </w:p>
    <w:p>
      <w:pPr>
        <w:spacing w:line="360" w:lineRule="auto"/>
        <w:ind w:firstLine="454"/>
        <w:rPr>
          <w:rFonts w:ascii="微软雅黑" w:hAnsi="微软雅黑" w:eastAsia="微软雅黑" w:cs="宋体"/>
          <w:color w:val="000000"/>
          <w:sz w:val="24"/>
        </w:rPr>
      </w:pPr>
      <w:r>
        <w:rPr>
          <w:rFonts w:hint="eastAsia" w:ascii="微软雅黑" w:hAnsi="微软雅黑" w:eastAsia="微软雅黑" w:cs="宋体"/>
          <w:color w:val="000000"/>
          <w:sz w:val="24"/>
        </w:rPr>
        <w:t>采购合同履行过程中，</w:t>
      </w:r>
      <w:r>
        <w:rPr>
          <w:rFonts w:hint="eastAsia" w:ascii="微软雅黑" w:hAnsi="微软雅黑" w:eastAsia="微软雅黑" w:cs="宋体"/>
          <w:color w:val="000000"/>
          <w:sz w:val="24"/>
          <w:lang w:eastAsia="zh-CN"/>
        </w:rPr>
        <w:t>采购人</w:t>
      </w:r>
      <w:r>
        <w:rPr>
          <w:rFonts w:hint="eastAsia" w:ascii="微软雅黑" w:hAnsi="微软雅黑" w:eastAsia="微软雅黑" w:cs="宋体"/>
          <w:color w:val="000000"/>
          <w:sz w:val="24"/>
        </w:rPr>
        <w:t>需要追加与合同标的相同的货物或者服务的，在不改变合同其他条款的前提下，可以与</w:t>
      </w:r>
      <w:r>
        <w:rPr>
          <w:rFonts w:hint="eastAsia" w:ascii="微软雅黑" w:hAnsi="微软雅黑" w:eastAsia="微软雅黑" w:cs="宋体"/>
          <w:color w:val="000000"/>
          <w:sz w:val="24"/>
          <w:lang w:eastAsia="zh-CN"/>
        </w:rPr>
        <w:t>成交</w:t>
      </w:r>
      <w:r>
        <w:rPr>
          <w:rFonts w:hint="eastAsia" w:ascii="微软雅黑" w:hAnsi="微软雅黑" w:eastAsia="微软雅黑" w:cs="宋体"/>
          <w:color w:val="000000"/>
          <w:sz w:val="24"/>
        </w:rPr>
        <w:t>供应商协商签订补充合同，但所有补充合同的采购金额不得超过原合同采购金额的百分之十。</w:t>
      </w:r>
    </w:p>
    <w:p>
      <w:pPr>
        <w:pStyle w:val="4"/>
        <w:spacing w:line="400" w:lineRule="exact"/>
        <w:rPr>
          <w:rFonts w:ascii="微软雅黑" w:hAnsi="微软雅黑" w:eastAsia="微软雅黑" w:cs="宋体"/>
          <w:bCs w:val="0"/>
          <w:color w:val="000000"/>
          <w:sz w:val="24"/>
        </w:rPr>
      </w:pPr>
      <w:bookmarkStart w:id="59" w:name="_Toc508133970"/>
      <w:bookmarkStart w:id="60" w:name="_Toc217446069"/>
      <w:r>
        <w:rPr>
          <w:rFonts w:hint="eastAsia" w:ascii="微软雅黑" w:hAnsi="微软雅黑" w:eastAsia="微软雅黑" w:cs="宋体"/>
          <w:bCs w:val="0"/>
          <w:color w:val="000000"/>
          <w:sz w:val="24"/>
        </w:rPr>
        <w:t>3. 履行合同</w:t>
      </w:r>
      <w:bookmarkEnd w:id="59"/>
      <w:bookmarkEnd w:id="60"/>
    </w:p>
    <w:p>
      <w:pPr>
        <w:spacing w:line="360" w:lineRule="auto"/>
        <w:rPr>
          <w:rFonts w:ascii="微软雅黑" w:hAnsi="微软雅黑" w:eastAsia="微软雅黑" w:cs="宋体"/>
          <w:color w:val="000000"/>
          <w:sz w:val="24"/>
        </w:rPr>
      </w:pPr>
      <w:r>
        <w:rPr>
          <w:rFonts w:hint="eastAsia" w:ascii="微软雅黑" w:hAnsi="微软雅黑" w:eastAsia="微软雅黑" w:cs="宋体"/>
          <w:color w:val="000000"/>
          <w:sz w:val="24"/>
        </w:rPr>
        <w:t xml:space="preserve">   3.1 </w:t>
      </w:r>
      <w:r>
        <w:rPr>
          <w:rFonts w:hint="eastAsia" w:ascii="微软雅黑" w:hAnsi="微软雅黑" w:eastAsia="微软雅黑" w:cs="宋体"/>
          <w:color w:val="000000"/>
          <w:sz w:val="24"/>
          <w:lang w:eastAsia="zh-CN"/>
        </w:rPr>
        <w:t>成交</w:t>
      </w:r>
      <w:r>
        <w:rPr>
          <w:rFonts w:hint="eastAsia" w:ascii="微软雅黑" w:hAnsi="微软雅黑" w:eastAsia="微软雅黑" w:cs="宋体"/>
          <w:color w:val="000000"/>
          <w:sz w:val="24"/>
        </w:rPr>
        <w:t>人与</w:t>
      </w:r>
      <w:r>
        <w:rPr>
          <w:rFonts w:hint="eastAsia" w:ascii="微软雅黑" w:hAnsi="微软雅黑" w:eastAsia="微软雅黑" w:cs="宋体"/>
          <w:color w:val="000000"/>
          <w:sz w:val="24"/>
          <w:lang w:eastAsia="zh-CN"/>
        </w:rPr>
        <w:t>采购人</w:t>
      </w:r>
      <w:r>
        <w:rPr>
          <w:rFonts w:hint="eastAsia" w:ascii="微软雅黑" w:hAnsi="微软雅黑" w:eastAsia="微软雅黑" w:cs="宋体"/>
          <w:color w:val="000000"/>
          <w:sz w:val="24"/>
        </w:rPr>
        <w:t>签订合同后，合同双方应严格执行合同条款，履行合同规定的义务，保证合同的顺利完成。</w:t>
      </w:r>
    </w:p>
    <w:p>
      <w:pPr>
        <w:spacing w:line="360" w:lineRule="auto"/>
        <w:rPr>
          <w:rFonts w:ascii="微软雅黑" w:hAnsi="微软雅黑" w:eastAsia="微软雅黑" w:cs="宋体"/>
          <w:color w:val="000000"/>
          <w:sz w:val="24"/>
        </w:rPr>
      </w:pPr>
      <w:r>
        <w:rPr>
          <w:rFonts w:hint="eastAsia" w:ascii="微软雅黑" w:hAnsi="微软雅黑" w:eastAsia="微软雅黑" w:cs="宋体"/>
          <w:color w:val="000000"/>
          <w:sz w:val="24"/>
        </w:rPr>
        <w:t xml:space="preserve">   3.2 在合同履行过程中，如发生合同纠纷，合同双方应按照《合同法》的有关规定进行处理。</w:t>
      </w:r>
    </w:p>
    <w:p>
      <w:pPr>
        <w:pStyle w:val="4"/>
        <w:spacing w:line="400" w:lineRule="exact"/>
        <w:rPr>
          <w:rFonts w:ascii="微软雅黑" w:hAnsi="微软雅黑" w:eastAsia="微软雅黑" w:cs="宋体"/>
          <w:bCs w:val="0"/>
          <w:color w:val="000000"/>
          <w:sz w:val="24"/>
        </w:rPr>
      </w:pPr>
      <w:bookmarkStart w:id="61" w:name="_Toc217446070"/>
      <w:bookmarkStart w:id="62" w:name="_Toc508133971"/>
      <w:r>
        <w:rPr>
          <w:rFonts w:hint="eastAsia" w:ascii="微软雅黑" w:hAnsi="微软雅黑" w:eastAsia="微软雅黑" w:cs="宋体"/>
          <w:bCs w:val="0"/>
          <w:color w:val="000000"/>
          <w:sz w:val="24"/>
        </w:rPr>
        <w:t>4. 验收</w:t>
      </w:r>
      <w:bookmarkEnd w:id="61"/>
      <w:bookmarkEnd w:id="62"/>
    </w:p>
    <w:p>
      <w:pPr>
        <w:pStyle w:val="7"/>
        <w:spacing w:line="360" w:lineRule="auto"/>
        <w:ind w:firstLine="480"/>
        <w:rPr>
          <w:rFonts w:ascii="微软雅黑" w:hAnsi="微软雅黑" w:eastAsia="微软雅黑" w:cs="宋体"/>
          <w:sz w:val="28"/>
          <w:szCs w:val="28"/>
        </w:rPr>
      </w:pPr>
      <w:bookmarkStart w:id="63" w:name="_Toc217446071"/>
      <w:r>
        <w:rPr>
          <w:rFonts w:hint="eastAsia" w:ascii="微软雅黑" w:hAnsi="微软雅黑" w:eastAsia="微软雅黑" w:cs="宋体"/>
          <w:sz w:val="24"/>
        </w:rPr>
        <w:t>结合</w:t>
      </w:r>
      <w:r>
        <w:rPr>
          <w:rFonts w:hint="eastAsia" w:ascii="微软雅黑" w:hAnsi="微软雅黑" w:eastAsia="微软雅黑" w:cs="宋体"/>
          <w:sz w:val="24"/>
          <w:lang w:eastAsia="zh-CN"/>
        </w:rPr>
        <w:t>采购</w:t>
      </w:r>
      <w:r>
        <w:rPr>
          <w:rFonts w:hint="eastAsia" w:ascii="微软雅黑" w:hAnsi="微软雅黑" w:eastAsia="微软雅黑" w:cs="宋体"/>
          <w:sz w:val="24"/>
        </w:rPr>
        <w:t>文件的内容，由</w:t>
      </w:r>
      <w:r>
        <w:rPr>
          <w:rFonts w:hint="eastAsia" w:ascii="微软雅黑" w:hAnsi="微软雅黑" w:eastAsia="微软雅黑" w:cs="宋体"/>
          <w:sz w:val="24"/>
          <w:lang w:eastAsia="zh-CN"/>
        </w:rPr>
        <w:t>采购人</w:t>
      </w:r>
      <w:r>
        <w:rPr>
          <w:rFonts w:hint="eastAsia" w:ascii="微软雅黑" w:hAnsi="微软雅黑" w:eastAsia="微软雅黑" w:cs="宋体"/>
          <w:sz w:val="24"/>
        </w:rPr>
        <w:t>按</w:t>
      </w:r>
      <w:r>
        <w:rPr>
          <w:rFonts w:hint="eastAsia" w:ascii="微软雅黑" w:hAnsi="微软雅黑" w:eastAsia="微软雅黑" w:cs="宋体"/>
          <w:sz w:val="24"/>
          <w:lang w:eastAsia="zh-CN"/>
        </w:rPr>
        <w:t>采购</w:t>
      </w:r>
      <w:r>
        <w:rPr>
          <w:rFonts w:hint="eastAsia" w:ascii="微软雅黑" w:hAnsi="微软雅黑" w:eastAsia="微软雅黑" w:cs="宋体"/>
          <w:sz w:val="24"/>
        </w:rPr>
        <w:t>文件中的技术要求</w:t>
      </w:r>
      <w:r>
        <w:rPr>
          <w:rFonts w:hint="eastAsia" w:ascii="微软雅黑" w:hAnsi="微软雅黑" w:eastAsia="微软雅黑" w:cs="宋体"/>
          <w:color w:val="000000" w:themeColor="text1"/>
          <w:sz w:val="24"/>
          <w:lang w:val="en-US" w:eastAsia="zh-CN"/>
          <w14:textFill>
            <w14:solidFill>
              <w14:schemeClr w14:val="tx1"/>
            </w14:solidFill>
          </w14:textFill>
        </w:rPr>
        <w:t>和软件行业相关规定</w:t>
      </w:r>
      <w:r>
        <w:rPr>
          <w:rFonts w:hint="eastAsia" w:ascii="微软雅黑" w:hAnsi="微软雅黑" w:eastAsia="微软雅黑" w:cs="宋体"/>
          <w:sz w:val="24"/>
        </w:rPr>
        <w:t>进行本项目最终验收。</w:t>
      </w:r>
    </w:p>
    <w:bookmarkEnd w:id="50"/>
    <w:bookmarkEnd w:id="51"/>
    <w:bookmarkEnd w:id="63"/>
    <w:p>
      <w:pPr>
        <w:pStyle w:val="2"/>
        <w:jc w:val="center"/>
        <w:rPr>
          <w:rFonts w:ascii="微软雅黑" w:hAnsi="微软雅黑" w:eastAsia="微软雅黑"/>
          <w:sz w:val="36"/>
          <w:szCs w:val="36"/>
        </w:rPr>
      </w:pPr>
      <w:bookmarkStart w:id="64" w:name="_Toc217446074"/>
      <w:bookmarkStart w:id="65" w:name="_Toc183582243"/>
      <w:bookmarkStart w:id="66" w:name="_Toc183682380"/>
      <w:r>
        <w:rPr>
          <w:szCs w:val="28"/>
        </w:rPr>
        <w:br w:type="page"/>
      </w:r>
      <w:bookmarkEnd w:id="64"/>
      <w:bookmarkEnd w:id="65"/>
      <w:bookmarkEnd w:id="66"/>
      <w:bookmarkStart w:id="67" w:name="_Toc508133972"/>
      <w:r>
        <w:rPr>
          <w:rFonts w:hint="eastAsia" w:ascii="微软雅黑" w:hAnsi="微软雅黑" w:eastAsia="微软雅黑"/>
          <w:sz w:val="36"/>
          <w:szCs w:val="36"/>
        </w:rPr>
        <w:t xml:space="preserve">第三章 </w:t>
      </w:r>
      <w:r>
        <w:rPr>
          <w:rFonts w:hint="eastAsia" w:ascii="微软雅黑" w:hAnsi="微软雅黑" w:eastAsia="微软雅黑"/>
          <w:sz w:val="36"/>
          <w:szCs w:val="36"/>
          <w:lang w:eastAsia="zh-CN"/>
        </w:rPr>
        <w:t>响应文件</w:t>
      </w:r>
      <w:r>
        <w:rPr>
          <w:rFonts w:hint="eastAsia" w:ascii="微软雅黑" w:hAnsi="微软雅黑" w:eastAsia="微软雅黑"/>
          <w:sz w:val="36"/>
          <w:szCs w:val="36"/>
        </w:rPr>
        <w:t>格式</w:t>
      </w:r>
      <w:bookmarkEnd w:id="67"/>
    </w:p>
    <w:p>
      <w:pPr>
        <w:pStyle w:val="3"/>
        <w:spacing w:line="400" w:lineRule="exact"/>
        <w:jc w:val="center"/>
        <w:rPr>
          <w:rFonts w:ascii="微软雅黑" w:hAnsi="微软雅黑" w:eastAsia="微软雅黑" w:cs="宋体"/>
          <w:color w:val="000000"/>
          <w:szCs w:val="21"/>
        </w:rPr>
      </w:pPr>
      <w:bookmarkStart w:id="68" w:name="_Toc217446082"/>
      <w:bookmarkStart w:id="69" w:name="_Toc508133973"/>
      <w:r>
        <w:rPr>
          <w:rFonts w:hint="eastAsia" w:ascii="微软雅黑" w:hAnsi="微软雅黑" w:eastAsia="微软雅黑" w:cs="宋体"/>
          <w:color w:val="000000"/>
          <w:szCs w:val="28"/>
        </w:rPr>
        <w:t>一、</w:t>
      </w:r>
      <w:r>
        <w:rPr>
          <w:rFonts w:hint="eastAsia" w:ascii="微软雅黑" w:hAnsi="微软雅黑" w:eastAsia="微软雅黑" w:cs="宋体"/>
          <w:color w:val="000000"/>
          <w:szCs w:val="28"/>
          <w:lang w:eastAsia="zh-CN"/>
        </w:rPr>
        <w:t>磋商</w:t>
      </w:r>
      <w:r>
        <w:rPr>
          <w:rFonts w:hint="eastAsia" w:ascii="微软雅黑" w:hAnsi="微软雅黑" w:eastAsia="微软雅黑" w:cs="宋体"/>
          <w:color w:val="000000"/>
          <w:szCs w:val="28"/>
        </w:rPr>
        <w:t>函</w:t>
      </w:r>
      <w:bookmarkEnd w:id="68"/>
      <w:bookmarkEnd w:id="69"/>
    </w:p>
    <w:p>
      <w:pPr>
        <w:pStyle w:val="12"/>
        <w:spacing w:line="340" w:lineRule="exact"/>
        <w:rPr>
          <w:rFonts w:ascii="微软雅黑" w:hAnsi="微软雅黑" w:eastAsia="微软雅黑" w:cs="宋体"/>
          <w:bCs/>
          <w:color w:val="000000"/>
          <w:sz w:val="24"/>
        </w:rPr>
      </w:pPr>
      <w:r>
        <w:rPr>
          <w:rFonts w:hint="eastAsia" w:ascii="微软雅黑" w:hAnsi="微软雅黑" w:eastAsia="微软雅黑" w:cs="宋体"/>
          <w:bCs/>
          <w:color w:val="000000"/>
          <w:sz w:val="24"/>
        </w:rPr>
        <w:t>__________________（</w:t>
      </w:r>
      <w:r>
        <w:rPr>
          <w:rFonts w:hint="eastAsia" w:ascii="微软雅黑" w:hAnsi="微软雅黑" w:eastAsia="微软雅黑" w:cs="宋体"/>
          <w:bCs/>
          <w:color w:val="000000"/>
          <w:sz w:val="24"/>
          <w:lang w:eastAsia="zh-CN"/>
        </w:rPr>
        <w:t>采购人</w:t>
      </w:r>
      <w:r>
        <w:rPr>
          <w:rFonts w:hint="eastAsia" w:ascii="微软雅黑" w:hAnsi="微软雅黑" w:eastAsia="微软雅黑" w:cs="宋体"/>
          <w:bCs/>
          <w:color w:val="000000"/>
          <w:sz w:val="24"/>
        </w:rPr>
        <w:t>）：</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我方全面研究了 “</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u w:val="single"/>
          <w:lang w:val="en-US" w:eastAsia="zh-CN"/>
        </w:rPr>
        <w:t xml:space="preserve">       </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”项目</w:t>
      </w:r>
      <w:r>
        <w:rPr>
          <w:rFonts w:hint="eastAsia" w:ascii="微软雅黑" w:hAnsi="微软雅黑" w:eastAsia="微软雅黑" w:cs="宋体"/>
          <w:bCs/>
          <w:color w:val="000000"/>
          <w:sz w:val="24"/>
          <w:lang w:eastAsia="zh-CN"/>
        </w:rPr>
        <w:t>采购</w:t>
      </w:r>
      <w:r>
        <w:rPr>
          <w:rFonts w:hint="eastAsia" w:ascii="微软雅黑" w:hAnsi="微软雅黑" w:eastAsia="微软雅黑" w:cs="宋体"/>
          <w:bCs/>
          <w:color w:val="000000"/>
          <w:sz w:val="24"/>
        </w:rPr>
        <w:t>，决定参加贵单位组织的本项目</w:t>
      </w: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。我方授权</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（姓名、职务）代表我方                        （</w:t>
      </w: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单位的名称）全权处理本项目</w:t>
      </w: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的有关事宜。</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1、我方自愿按照</w:t>
      </w:r>
      <w:r>
        <w:rPr>
          <w:rFonts w:hint="eastAsia" w:ascii="微软雅黑" w:hAnsi="微软雅黑" w:eastAsia="微软雅黑" w:cs="宋体"/>
          <w:bCs/>
          <w:color w:val="000000"/>
          <w:sz w:val="24"/>
          <w:lang w:eastAsia="zh-CN"/>
        </w:rPr>
        <w:t>采购</w:t>
      </w:r>
      <w:r>
        <w:rPr>
          <w:rFonts w:hint="eastAsia" w:ascii="微软雅黑" w:hAnsi="微软雅黑" w:eastAsia="微软雅黑" w:cs="宋体"/>
          <w:bCs/>
          <w:color w:val="000000"/>
          <w:sz w:val="24"/>
        </w:rPr>
        <w:t>文件规定的各项要求向</w:t>
      </w:r>
      <w:r>
        <w:rPr>
          <w:rFonts w:hint="eastAsia" w:ascii="微软雅黑" w:hAnsi="微软雅黑" w:eastAsia="微软雅黑" w:cs="宋体"/>
          <w:bCs/>
          <w:color w:val="000000"/>
          <w:sz w:val="24"/>
          <w:lang w:eastAsia="zh-CN"/>
        </w:rPr>
        <w:t>采购人</w:t>
      </w:r>
      <w:r>
        <w:rPr>
          <w:rFonts w:hint="eastAsia" w:ascii="微软雅黑" w:hAnsi="微软雅黑" w:eastAsia="微软雅黑" w:cs="宋体"/>
          <w:bCs/>
          <w:color w:val="000000"/>
          <w:sz w:val="24"/>
        </w:rPr>
        <w:t>提供所需货物/服务，总价为人民币</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万元（大写：</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w:t>
      </w:r>
      <w:r>
        <w:rPr>
          <w:rFonts w:hint="eastAsia" w:ascii="微软雅黑" w:hAnsi="微软雅黑" w:eastAsia="微软雅黑" w:cs="宋体"/>
          <w:bCs/>
          <w:color w:val="FF0000"/>
          <w:sz w:val="24"/>
          <w:lang w:val="en-US" w:eastAsia="zh-CN"/>
        </w:rPr>
        <w:t>经磋商后的最终报价是本函的组成部分。</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2、一旦我方</w:t>
      </w:r>
      <w:r>
        <w:rPr>
          <w:rFonts w:hint="eastAsia" w:ascii="微软雅黑" w:hAnsi="微软雅黑" w:eastAsia="微软雅黑" w:cs="宋体"/>
          <w:bCs/>
          <w:color w:val="000000"/>
          <w:sz w:val="24"/>
          <w:lang w:eastAsia="zh-CN"/>
        </w:rPr>
        <w:t>成交</w:t>
      </w:r>
      <w:r>
        <w:rPr>
          <w:rFonts w:hint="eastAsia" w:ascii="微软雅黑" w:hAnsi="微软雅黑" w:eastAsia="微软雅黑" w:cs="宋体"/>
          <w:bCs/>
          <w:color w:val="000000"/>
          <w:sz w:val="24"/>
        </w:rPr>
        <w:t>，我方将严格履行合同规定的责任和义务，保证于合同签字生效后</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日内完成项目的调研、安装、开发、调试、培训和实施，并交付</w:t>
      </w:r>
      <w:r>
        <w:rPr>
          <w:rFonts w:hint="eastAsia" w:ascii="微软雅黑" w:hAnsi="微软雅黑" w:eastAsia="微软雅黑" w:cs="宋体"/>
          <w:bCs/>
          <w:color w:val="000000"/>
          <w:sz w:val="24"/>
          <w:lang w:eastAsia="zh-CN"/>
        </w:rPr>
        <w:t>采购人</w:t>
      </w:r>
      <w:r>
        <w:rPr>
          <w:rFonts w:hint="eastAsia" w:ascii="微软雅黑" w:hAnsi="微软雅黑" w:eastAsia="微软雅黑" w:cs="宋体"/>
          <w:bCs/>
          <w:color w:val="000000"/>
          <w:sz w:val="24"/>
        </w:rPr>
        <w:t>进行验收和使用。</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3、我方同意按照</w:t>
      </w:r>
      <w:r>
        <w:rPr>
          <w:rFonts w:hint="eastAsia" w:ascii="微软雅黑" w:hAnsi="微软雅黑" w:eastAsia="微软雅黑" w:cs="宋体"/>
          <w:bCs/>
          <w:color w:val="000000"/>
          <w:sz w:val="24"/>
          <w:lang w:eastAsia="zh-CN"/>
        </w:rPr>
        <w:t>采购</w:t>
      </w:r>
      <w:r>
        <w:rPr>
          <w:rFonts w:hint="eastAsia" w:ascii="微软雅黑" w:hAnsi="微软雅黑" w:eastAsia="微软雅黑" w:cs="宋体"/>
          <w:bCs/>
          <w:color w:val="000000"/>
          <w:sz w:val="24"/>
        </w:rPr>
        <w:t>文件的要求，向贵单位交纳人民币</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万元（大写：</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）的</w:t>
      </w: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保证金。并承诺：下列任何情况发生时，我方将不要求退还</w:t>
      </w: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保证金：</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（1）如果我方在</w:t>
      </w: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有效期内撤回</w:t>
      </w: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（2）我方提供了虚假响应</w:t>
      </w:r>
      <w:r>
        <w:rPr>
          <w:rFonts w:hint="eastAsia" w:ascii="微软雅黑" w:hAnsi="微软雅黑" w:eastAsia="微软雅黑" w:cs="宋体"/>
          <w:bCs/>
          <w:color w:val="000000"/>
          <w:sz w:val="24"/>
          <w:lang w:eastAsia="zh-CN"/>
        </w:rPr>
        <w:t>采购</w:t>
      </w:r>
      <w:r>
        <w:rPr>
          <w:rFonts w:hint="eastAsia" w:ascii="微软雅黑" w:hAnsi="微软雅黑" w:eastAsia="微软雅黑" w:cs="宋体"/>
          <w:bCs/>
          <w:color w:val="000000"/>
          <w:sz w:val="24"/>
        </w:rPr>
        <w:t>文件的</w:t>
      </w:r>
      <w:r>
        <w:rPr>
          <w:rFonts w:hint="eastAsia" w:ascii="微软雅黑" w:hAnsi="微软雅黑" w:eastAsia="微软雅黑" w:cs="宋体"/>
          <w:bCs/>
          <w:color w:val="000000"/>
          <w:sz w:val="24"/>
          <w:lang w:eastAsia="zh-CN"/>
        </w:rPr>
        <w:t>响应文件</w:t>
      </w:r>
      <w:r>
        <w:rPr>
          <w:rFonts w:hint="eastAsia" w:ascii="微软雅黑" w:hAnsi="微软雅黑" w:eastAsia="微软雅黑" w:cs="宋体"/>
          <w:bCs/>
          <w:color w:val="000000"/>
          <w:sz w:val="24"/>
        </w:rPr>
        <w:t>；</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（3）在</w:t>
      </w: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过程中有违规违纪行为；</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（4）我方在收到</w:t>
      </w:r>
      <w:r>
        <w:rPr>
          <w:rFonts w:hint="eastAsia" w:ascii="微软雅黑" w:hAnsi="微软雅黑" w:eastAsia="微软雅黑" w:cs="宋体"/>
          <w:bCs/>
          <w:color w:val="000000"/>
          <w:sz w:val="24"/>
          <w:lang w:eastAsia="zh-CN"/>
        </w:rPr>
        <w:t>成交</w:t>
      </w:r>
      <w:r>
        <w:rPr>
          <w:rFonts w:hint="eastAsia" w:ascii="微软雅黑" w:hAnsi="微软雅黑" w:eastAsia="微软雅黑" w:cs="宋体"/>
          <w:bCs/>
          <w:color w:val="000000"/>
          <w:sz w:val="24"/>
        </w:rPr>
        <w:t>通知书后，由于我方原因未能按照</w:t>
      </w:r>
      <w:r>
        <w:rPr>
          <w:rFonts w:hint="eastAsia" w:ascii="微软雅黑" w:hAnsi="微软雅黑" w:eastAsia="微软雅黑" w:cs="宋体"/>
          <w:bCs/>
          <w:color w:val="000000"/>
          <w:sz w:val="24"/>
          <w:lang w:eastAsia="zh-CN"/>
        </w:rPr>
        <w:t>采购</w:t>
      </w:r>
      <w:r>
        <w:rPr>
          <w:rFonts w:hint="eastAsia" w:ascii="微软雅黑" w:hAnsi="微软雅黑" w:eastAsia="微软雅黑" w:cs="宋体"/>
          <w:bCs/>
          <w:color w:val="000000"/>
          <w:sz w:val="24"/>
        </w:rPr>
        <w:t>文件要求与</w:t>
      </w:r>
      <w:r>
        <w:rPr>
          <w:rFonts w:hint="eastAsia" w:ascii="微软雅黑" w:hAnsi="微软雅黑" w:eastAsia="微软雅黑" w:cs="宋体"/>
          <w:bCs/>
          <w:color w:val="000000"/>
          <w:sz w:val="24"/>
          <w:lang w:eastAsia="zh-CN"/>
        </w:rPr>
        <w:t>采购人</w:t>
      </w:r>
      <w:r>
        <w:rPr>
          <w:rFonts w:hint="eastAsia" w:ascii="微软雅黑" w:hAnsi="微软雅黑" w:eastAsia="微软雅黑" w:cs="宋体"/>
          <w:bCs/>
          <w:color w:val="000000"/>
          <w:sz w:val="24"/>
        </w:rPr>
        <w:t>签订并履行合同。</w:t>
      </w:r>
    </w:p>
    <w:p>
      <w:pPr>
        <w:pStyle w:val="12"/>
        <w:spacing w:line="340" w:lineRule="exact"/>
        <w:ind w:firstLine="480" w:firstLineChars="200"/>
        <w:rPr>
          <w:rFonts w:ascii="微软雅黑" w:hAnsi="微软雅黑" w:eastAsia="微软雅黑" w:cs="宋体"/>
          <w:bCs/>
          <w:sz w:val="24"/>
        </w:rPr>
      </w:pPr>
      <w:r>
        <w:rPr>
          <w:rFonts w:hint="eastAsia" w:ascii="微软雅黑" w:hAnsi="微软雅黑" w:eastAsia="微软雅黑" w:cs="宋体"/>
          <w:bCs/>
          <w:color w:val="000000"/>
          <w:sz w:val="24"/>
        </w:rPr>
        <w:t>4、我方为本项目提交的全部</w:t>
      </w:r>
      <w:r>
        <w:rPr>
          <w:rFonts w:hint="eastAsia" w:ascii="微软雅黑" w:hAnsi="微软雅黑" w:eastAsia="微软雅黑" w:cs="宋体"/>
          <w:bCs/>
          <w:color w:val="000000"/>
          <w:sz w:val="24"/>
          <w:lang w:eastAsia="zh-CN"/>
        </w:rPr>
        <w:t>响应文件</w:t>
      </w:r>
      <w:r>
        <w:rPr>
          <w:rFonts w:hint="eastAsia" w:ascii="微软雅黑" w:hAnsi="微软雅黑" w:eastAsia="微软雅黑" w:cs="宋体"/>
          <w:bCs/>
          <w:color w:val="000000"/>
          <w:sz w:val="24"/>
        </w:rPr>
        <w:t>：</w:t>
      </w:r>
      <w:r>
        <w:rPr>
          <w:rFonts w:hint="eastAsia" w:ascii="微软雅黑" w:hAnsi="微软雅黑" w:eastAsia="微软雅黑" w:cs="宋体"/>
          <w:color w:val="000000"/>
          <w:sz w:val="24"/>
        </w:rPr>
        <w:t>正本</w:t>
      </w:r>
      <w:r>
        <w:rPr>
          <w:rFonts w:hint="eastAsia" w:ascii="微软雅黑" w:hAnsi="微软雅黑" w:eastAsia="微软雅黑" w:cs="宋体"/>
          <w:color w:val="000000"/>
          <w:sz w:val="24"/>
          <w:u w:val="single"/>
        </w:rPr>
        <w:t>1</w:t>
      </w:r>
      <w:r>
        <w:rPr>
          <w:rFonts w:hint="eastAsia" w:ascii="微软雅黑" w:hAnsi="微软雅黑" w:eastAsia="微软雅黑" w:cs="宋体"/>
          <w:color w:val="000000"/>
          <w:sz w:val="24"/>
        </w:rPr>
        <w:t>份</w:t>
      </w:r>
      <w:r>
        <w:rPr>
          <w:rFonts w:hint="eastAsia" w:ascii="微软雅黑" w:hAnsi="微软雅黑" w:eastAsia="微软雅黑" w:cs="宋体"/>
          <w:sz w:val="24"/>
        </w:rPr>
        <w:t>、副本</w:t>
      </w:r>
      <w:r>
        <w:rPr>
          <w:rFonts w:hint="eastAsia" w:ascii="微软雅黑" w:hAnsi="微软雅黑" w:eastAsia="微软雅黑" w:cs="宋体"/>
          <w:sz w:val="24"/>
          <w:u w:val="single"/>
        </w:rPr>
        <w:t>2</w:t>
      </w:r>
      <w:r>
        <w:rPr>
          <w:rFonts w:hint="eastAsia" w:ascii="微软雅黑" w:hAnsi="微软雅黑" w:eastAsia="微软雅黑" w:cs="宋体"/>
          <w:sz w:val="24"/>
        </w:rPr>
        <w:t>份。</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5、我方愿意提供贵单位可能另外要求的，与</w:t>
      </w: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有关的文件资料，并保证我方已提供和将要提供的文件资料是真实、准确的。</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6、我方完全理解</w:t>
      </w:r>
      <w:r>
        <w:rPr>
          <w:rFonts w:hint="eastAsia" w:ascii="微软雅黑" w:hAnsi="微软雅黑" w:eastAsia="微软雅黑" w:cs="宋体"/>
          <w:bCs/>
          <w:color w:val="000000"/>
          <w:sz w:val="24"/>
          <w:lang w:eastAsia="zh-CN"/>
        </w:rPr>
        <w:t>采购人</w:t>
      </w:r>
      <w:r>
        <w:rPr>
          <w:rFonts w:hint="eastAsia" w:ascii="微软雅黑" w:hAnsi="微软雅黑" w:eastAsia="微软雅黑" w:cs="宋体"/>
          <w:bCs/>
          <w:color w:val="000000"/>
          <w:sz w:val="24"/>
        </w:rPr>
        <w:t>不一定将合同授予最低报价的</w:t>
      </w:r>
      <w:r>
        <w:rPr>
          <w:rFonts w:hint="eastAsia" w:ascii="微软雅黑" w:hAnsi="微软雅黑" w:eastAsia="微软雅黑" w:cs="宋体"/>
          <w:bCs/>
          <w:color w:val="000000"/>
          <w:sz w:val="24"/>
          <w:lang w:eastAsia="zh-CN"/>
        </w:rPr>
        <w:t>申请人</w:t>
      </w:r>
      <w:r>
        <w:rPr>
          <w:rFonts w:hint="eastAsia" w:ascii="微软雅黑" w:hAnsi="微软雅黑" w:eastAsia="微软雅黑" w:cs="宋体"/>
          <w:bCs/>
          <w:color w:val="000000"/>
          <w:sz w:val="24"/>
        </w:rPr>
        <w:t>的行为。</w:t>
      </w:r>
    </w:p>
    <w:p>
      <w:pPr>
        <w:pStyle w:val="12"/>
        <w:spacing w:line="340" w:lineRule="exact"/>
        <w:ind w:firstLine="480" w:firstLineChars="200"/>
        <w:rPr>
          <w:rFonts w:ascii="微软雅黑" w:hAnsi="微软雅黑" w:eastAsia="微软雅黑" w:cs="宋体"/>
          <w:bCs/>
          <w:color w:val="000000"/>
          <w:sz w:val="24"/>
        </w:rPr>
      </w:pP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lang w:eastAsia="zh-CN"/>
        </w:rPr>
        <w:t>申请人</w:t>
      </w:r>
      <w:r>
        <w:rPr>
          <w:rFonts w:hint="eastAsia" w:ascii="微软雅黑" w:hAnsi="微软雅黑" w:eastAsia="微软雅黑" w:cs="宋体"/>
          <w:bCs/>
          <w:color w:val="000000"/>
          <w:sz w:val="24"/>
        </w:rPr>
        <w:t>名称：        （盖章）</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法定代表人或授权代表（签字）：</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通讯地址：</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邮政编码：</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联系电话：</w:t>
      </w:r>
    </w:p>
    <w:p>
      <w:pPr>
        <w:pStyle w:val="12"/>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日    期：</w:t>
      </w:r>
      <w:r>
        <w:rPr>
          <w:rFonts w:ascii="微软雅黑" w:hAnsi="微软雅黑" w:eastAsia="微软雅黑"/>
          <w:bCs/>
          <w:sz w:val="24"/>
          <w:u w:val="single"/>
        </w:rPr>
        <w:t xml:space="preserve">       </w:t>
      </w:r>
      <w:r>
        <w:rPr>
          <w:rFonts w:hint="eastAsia" w:ascii="微软雅黑" w:hAnsi="微软雅黑" w:eastAsia="微软雅黑"/>
          <w:bCs/>
          <w:sz w:val="24"/>
        </w:rPr>
        <w:t>年</w:t>
      </w:r>
      <w:r>
        <w:rPr>
          <w:rFonts w:ascii="微软雅黑" w:hAnsi="微软雅黑" w:eastAsia="微软雅黑"/>
          <w:bCs/>
          <w:sz w:val="24"/>
          <w:u w:val="single"/>
        </w:rPr>
        <w:t xml:space="preserve">    </w:t>
      </w:r>
      <w:r>
        <w:rPr>
          <w:rFonts w:hint="eastAsia" w:ascii="微软雅黑" w:hAnsi="微软雅黑" w:eastAsia="微软雅黑"/>
          <w:bCs/>
          <w:sz w:val="24"/>
        </w:rPr>
        <w:t>月</w:t>
      </w:r>
      <w:r>
        <w:rPr>
          <w:rFonts w:ascii="微软雅黑" w:hAnsi="微软雅黑" w:eastAsia="微软雅黑"/>
          <w:bCs/>
          <w:sz w:val="24"/>
          <w:u w:val="single"/>
        </w:rPr>
        <w:t xml:space="preserve">    </w:t>
      </w:r>
      <w:r>
        <w:rPr>
          <w:rFonts w:hint="eastAsia" w:ascii="微软雅黑" w:hAnsi="微软雅黑" w:eastAsia="微软雅黑"/>
          <w:bCs/>
          <w:sz w:val="24"/>
        </w:rPr>
        <w:t>日</w:t>
      </w:r>
    </w:p>
    <w:p>
      <w:pPr>
        <w:pStyle w:val="3"/>
        <w:spacing w:line="400" w:lineRule="exact"/>
        <w:jc w:val="center"/>
        <w:rPr>
          <w:rFonts w:ascii="微软雅黑" w:hAnsi="微软雅黑" w:eastAsia="微软雅黑" w:cs="宋体"/>
          <w:color w:val="000000"/>
          <w:szCs w:val="28"/>
        </w:rPr>
      </w:pPr>
      <w:bookmarkStart w:id="70" w:name="_Toc508133974"/>
      <w:bookmarkStart w:id="71" w:name="_Toc217446083"/>
      <w:r>
        <w:rPr>
          <w:rFonts w:hint="eastAsia" w:ascii="微软雅黑" w:hAnsi="微软雅黑" w:eastAsia="微软雅黑" w:cs="宋体"/>
          <w:color w:val="000000"/>
          <w:szCs w:val="28"/>
        </w:rPr>
        <w:t>二、法定代表人授权书</w:t>
      </w:r>
      <w:bookmarkEnd w:id="70"/>
      <w:bookmarkEnd w:id="71"/>
    </w:p>
    <w:p>
      <w:pPr>
        <w:spacing w:line="360" w:lineRule="auto"/>
        <w:jc w:val="center"/>
        <w:rPr>
          <w:rFonts w:ascii="微软雅黑" w:hAnsi="微软雅黑" w:eastAsia="微软雅黑" w:cs="宋体"/>
          <w:b/>
          <w:color w:val="000000"/>
          <w:sz w:val="44"/>
        </w:rPr>
      </w:pPr>
    </w:p>
    <w:p>
      <w:pPr>
        <w:spacing w:line="360" w:lineRule="auto"/>
        <w:rPr>
          <w:rFonts w:ascii="微软雅黑" w:hAnsi="微软雅黑" w:eastAsia="微软雅黑" w:cs="宋体"/>
          <w:color w:val="000000"/>
          <w:sz w:val="24"/>
        </w:rPr>
      </w:pPr>
      <w:r>
        <w:rPr>
          <w:rFonts w:hint="eastAsia" w:ascii="微软雅黑" w:hAnsi="微软雅黑" w:eastAsia="微软雅黑" w:cs="宋体"/>
          <w:color w:val="000000"/>
          <w:sz w:val="24"/>
        </w:rPr>
        <w:t>__________________（</w:t>
      </w:r>
      <w:r>
        <w:rPr>
          <w:rFonts w:hint="eastAsia" w:ascii="微软雅黑" w:hAnsi="微软雅黑" w:eastAsia="微软雅黑" w:cs="宋体"/>
          <w:color w:val="000000"/>
          <w:sz w:val="24"/>
          <w:lang w:eastAsia="zh-CN"/>
        </w:rPr>
        <w:t>采购人</w:t>
      </w:r>
      <w:r>
        <w:rPr>
          <w:rFonts w:hint="eastAsia" w:ascii="微软雅黑" w:hAnsi="微软雅黑" w:eastAsia="微软雅黑" w:cs="宋体"/>
          <w:color w:val="000000"/>
          <w:sz w:val="24"/>
        </w:rPr>
        <w:t>）：</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本授权声明：</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名称）</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（法定代表人姓名、职务）授权</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 xml:space="preserve">（被授权人姓名、职务）为我方 “ </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 项目（</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编号）</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活动的合法代表，以我方名义全权处理该项目有关</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、签订合同以及执行合同等一切事宜。</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特此声明。</w:t>
      </w:r>
    </w:p>
    <w:p>
      <w:pPr>
        <w:spacing w:line="360" w:lineRule="auto"/>
        <w:ind w:firstLine="480" w:firstLineChars="200"/>
        <w:rPr>
          <w:rFonts w:ascii="微软雅黑" w:hAnsi="微软雅黑" w:eastAsia="微软雅黑" w:cs="宋体"/>
          <w:color w:val="000000"/>
          <w:sz w:val="24"/>
        </w:rPr>
      </w:pPr>
    </w:p>
    <w:p>
      <w:pPr>
        <w:spacing w:line="360" w:lineRule="auto"/>
        <w:ind w:firstLine="480" w:firstLineChars="200"/>
        <w:rPr>
          <w:rFonts w:ascii="微软雅黑" w:hAnsi="微软雅黑" w:eastAsia="微软雅黑" w:cs="宋体"/>
          <w:color w:val="000000"/>
          <w:sz w:val="24"/>
        </w:rPr>
      </w:pP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法定代表人签字：</w:t>
      </w:r>
    </w:p>
    <w:p>
      <w:pPr>
        <w:spacing w:line="360" w:lineRule="auto"/>
        <w:ind w:firstLine="720" w:firstLineChars="300"/>
        <w:rPr>
          <w:rFonts w:ascii="微软雅黑" w:hAnsi="微软雅黑" w:eastAsia="微软雅黑" w:cs="宋体"/>
          <w:color w:val="000000"/>
          <w:sz w:val="24"/>
        </w:rPr>
      </w:pPr>
      <w:r>
        <w:rPr>
          <w:rFonts w:hint="eastAsia" w:ascii="微软雅黑" w:hAnsi="微软雅黑" w:eastAsia="微软雅黑" w:cs="宋体"/>
          <w:color w:val="000000"/>
          <w:sz w:val="24"/>
        </w:rPr>
        <w:t>授权代表签字：</w:t>
      </w:r>
    </w:p>
    <w:p>
      <w:pPr>
        <w:spacing w:line="360" w:lineRule="auto"/>
        <w:ind w:firstLine="960" w:firstLineChars="400"/>
        <w:rPr>
          <w:rFonts w:ascii="微软雅黑" w:hAnsi="微软雅黑" w:eastAsia="微软雅黑" w:cs="宋体"/>
          <w:color w:val="000000"/>
          <w:sz w:val="24"/>
        </w:rPr>
      </w:pP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名称：         （盖章）</w:t>
      </w:r>
    </w:p>
    <w:p>
      <w:pPr>
        <w:spacing w:line="360" w:lineRule="auto"/>
        <w:ind w:firstLine="1200" w:firstLineChars="500"/>
        <w:rPr>
          <w:rFonts w:ascii="微软雅黑" w:hAnsi="微软雅黑" w:eastAsia="微软雅黑" w:cs="宋体"/>
          <w:color w:val="000000"/>
          <w:sz w:val="24"/>
        </w:rPr>
      </w:pP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日期：</w:t>
      </w: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pStyle w:val="3"/>
        <w:spacing w:line="400" w:lineRule="exact"/>
        <w:jc w:val="center"/>
        <w:rPr>
          <w:rFonts w:ascii="微软雅黑" w:hAnsi="微软雅黑" w:eastAsia="微软雅黑" w:cs="宋体"/>
          <w:bCs w:val="0"/>
          <w:color w:val="000000"/>
          <w:szCs w:val="28"/>
        </w:rPr>
      </w:pPr>
      <w:bookmarkStart w:id="72" w:name="_Toc217446085"/>
      <w:bookmarkStart w:id="73" w:name="_Toc508133975"/>
      <w:r>
        <w:rPr>
          <w:rFonts w:hint="eastAsia" w:ascii="微软雅黑" w:hAnsi="微软雅黑" w:eastAsia="微软雅黑" w:cs="宋体"/>
          <w:bCs w:val="0"/>
          <w:color w:val="000000"/>
          <w:szCs w:val="28"/>
        </w:rPr>
        <w:t>三、报价总表</w:t>
      </w:r>
      <w:bookmarkEnd w:id="72"/>
      <w:bookmarkEnd w:id="73"/>
    </w:p>
    <w:p>
      <w:pPr>
        <w:spacing w:line="400" w:lineRule="exact"/>
        <w:rPr>
          <w:rFonts w:ascii="微软雅黑" w:hAnsi="微软雅黑" w:eastAsia="微软雅黑" w:cs="宋体"/>
          <w:color w:val="000000"/>
          <w:sz w:val="24"/>
        </w:rPr>
      </w:pPr>
    </w:p>
    <w:tbl>
      <w:tblPr>
        <w:tblStyle w:val="23"/>
        <w:tblW w:w="1018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969"/>
        <w:gridCol w:w="855"/>
        <w:gridCol w:w="294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951" w:type="dxa"/>
            <w:vAlign w:val="center"/>
          </w:tcPr>
          <w:p>
            <w:pPr>
              <w:spacing w:line="400" w:lineRule="exact"/>
              <w:jc w:val="center"/>
              <w:rPr>
                <w:rFonts w:ascii="微软雅黑" w:hAnsi="微软雅黑" w:eastAsia="微软雅黑" w:cs="宋体"/>
                <w:color w:val="000000"/>
                <w:sz w:val="24"/>
              </w:rPr>
            </w:pPr>
            <w:r>
              <w:rPr>
                <w:rFonts w:hint="eastAsia" w:ascii="微软雅黑" w:hAnsi="微软雅黑" w:eastAsia="微软雅黑" w:cs="宋体"/>
                <w:color w:val="000000"/>
                <w:sz w:val="24"/>
              </w:rPr>
              <w:t>序号</w:t>
            </w:r>
          </w:p>
        </w:tc>
        <w:tc>
          <w:tcPr>
            <w:tcW w:w="3969" w:type="dxa"/>
            <w:vAlign w:val="center"/>
          </w:tcPr>
          <w:p>
            <w:pPr>
              <w:spacing w:line="400" w:lineRule="exact"/>
              <w:jc w:val="center"/>
              <w:rPr>
                <w:rFonts w:ascii="微软雅黑" w:hAnsi="微软雅黑" w:eastAsia="微软雅黑" w:cs="宋体"/>
                <w:color w:val="000000"/>
                <w:sz w:val="24"/>
              </w:rPr>
            </w:pPr>
            <w:r>
              <w:rPr>
                <w:rFonts w:hint="eastAsia" w:ascii="微软雅黑" w:hAnsi="微软雅黑" w:eastAsia="微软雅黑" w:cs="宋体"/>
                <w:color w:val="000000"/>
                <w:sz w:val="24"/>
              </w:rPr>
              <w:t>制造厂商及规格型号</w:t>
            </w:r>
          </w:p>
        </w:tc>
        <w:tc>
          <w:tcPr>
            <w:tcW w:w="855" w:type="dxa"/>
            <w:vAlign w:val="center"/>
          </w:tcPr>
          <w:p>
            <w:pPr>
              <w:spacing w:line="400" w:lineRule="exact"/>
              <w:jc w:val="center"/>
              <w:rPr>
                <w:rFonts w:ascii="微软雅黑" w:hAnsi="微软雅黑" w:eastAsia="微软雅黑" w:cs="宋体"/>
                <w:color w:val="000000"/>
                <w:sz w:val="24"/>
              </w:rPr>
            </w:pPr>
            <w:r>
              <w:rPr>
                <w:rFonts w:hint="eastAsia" w:ascii="微软雅黑" w:hAnsi="微软雅黑" w:eastAsia="微软雅黑" w:cs="宋体"/>
                <w:color w:val="000000"/>
                <w:sz w:val="24"/>
              </w:rPr>
              <w:t>数量</w:t>
            </w:r>
          </w:p>
        </w:tc>
        <w:tc>
          <w:tcPr>
            <w:tcW w:w="2940" w:type="dxa"/>
            <w:vAlign w:val="center"/>
          </w:tcPr>
          <w:p>
            <w:pPr>
              <w:spacing w:line="400" w:lineRule="exact"/>
              <w:jc w:val="center"/>
              <w:rPr>
                <w:rFonts w:ascii="微软雅黑" w:hAnsi="微软雅黑" w:eastAsia="微软雅黑" w:cs="宋体"/>
                <w:color w:val="000000"/>
                <w:sz w:val="24"/>
              </w:rPr>
            </w:pPr>
            <w:r>
              <w:rPr>
                <w:rFonts w:hint="eastAsia" w:ascii="微软雅黑" w:hAnsi="微软雅黑" w:eastAsia="微软雅黑" w:cs="宋体"/>
                <w:color w:val="000000"/>
                <w:sz w:val="24"/>
              </w:rPr>
              <w:t>总价（万元）</w:t>
            </w:r>
          </w:p>
        </w:tc>
        <w:tc>
          <w:tcPr>
            <w:tcW w:w="1470" w:type="dxa"/>
            <w:vAlign w:val="center"/>
          </w:tcPr>
          <w:p>
            <w:pPr>
              <w:spacing w:line="400" w:lineRule="exact"/>
              <w:jc w:val="center"/>
              <w:rPr>
                <w:rFonts w:ascii="微软雅黑" w:hAnsi="微软雅黑" w:eastAsia="微软雅黑" w:cs="宋体"/>
                <w:color w:val="000000"/>
                <w:sz w:val="24"/>
              </w:rPr>
            </w:pPr>
            <w:r>
              <w:rPr>
                <w:rFonts w:hint="eastAsia" w:ascii="微软雅黑" w:hAnsi="微软雅黑" w:eastAsia="微软雅黑"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951" w:type="dxa"/>
            <w:vAlign w:val="center"/>
          </w:tcPr>
          <w:p>
            <w:pPr>
              <w:spacing w:line="400" w:lineRule="exact"/>
              <w:jc w:val="center"/>
              <w:rPr>
                <w:rFonts w:ascii="微软雅黑" w:hAnsi="微软雅黑" w:eastAsia="微软雅黑" w:cs="宋体"/>
                <w:color w:val="000000"/>
                <w:sz w:val="44"/>
              </w:rPr>
            </w:pPr>
          </w:p>
        </w:tc>
        <w:tc>
          <w:tcPr>
            <w:tcW w:w="3969" w:type="dxa"/>
            <w:vAlign w:val="center"/>
          </w:tcPr>
          <w:p>
            <w:pPr>
              <w:spacing w:line="400" w:lineRule="exact"/>
              <w:jc w:val="center"/>
              <w:rPr>
                <w:rFonts w:ascii="微软雅黑" w:hAnsi="微软雅黑" w:eastAsia="微软雅黑" w:cs="宋体"/>
                <w:color w:val="000000"/>
                <w:sz w:val="28"/>
              </w:rPr>
            </w:pPr>
          </w:p>
        </w:tc>
        <w:tc>
          <w:tcPr>
            <w:tcW w:w="855" w:type="dxa"/>
            <w:vAlign w:val="center"/>
          </w:tcPr>
          <w:p>
            <w:pPr>
              <w:spacing w:line="400" w:lineRule="exact"/>
              <w:jc w:val="center"/>
              <w:rPr>
                <w:rFonts w:ascii="微软雅黑" w:hAnsi="微软雅黑" w:eastAsia="微软雅黑" w:cs="宋体"/>
                <w:color w:val="000000"/>
                <w:sz w:val="28"/>
              </w:rPr>
            </w:pPr>
          </w:p>
        </w:tc>
        <w:tc>
          <w:tcPr>
            <w:tcW w:w="2940" w:type="dxa"/>
            <w:vAlign w:val="center"/>
          </w:tcPr>
          <w:p>
            <w:pPr>
              <w:spacing w:line="400" w:lineRule="exact"/>
              <w:jc w:val="center"/>
              <w:rPr>
                <w:rFonts w:ascii="微软雅黑" w:hAnsi="微软雅黑" w:eastAsia="微软雅黑" w:cs="宋体"/>
                <w:color w:val="000000"/>
                <w:sz w:val="28"/>
              </w:rPr>
            </w:pPr>
          </w:p>
        </w:tc>
        <w:tc>
          <w:tcPr>
            <w:tcW w:w="1470" w:type="dxa"/>
            <w:vAlign w:val="center"/>
          </w:tcPr>
          <w:p>
            <w:pPr>
              <w:spacing w:line="400" w:lineRule="exact"/>
              <w:jc w:val="center"/>
              <w:rPr>
                <w:rFonts w:ascii="微软雅黑" w:hAnsi="微软雅黑" w:eastAsia="微软雅黑"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185" w:type="dxa"/>
            <w:gridSpan w:val="5"/>
            <w:vAlign w:val="center"/>
          </w:tcPr>
          <w:p>
            <w:pPr>
              <w:spacing w:line="400" w:lineRule="exact"/>
              <w:rPr>
                <w:rFonts w:ascii="微软雅黑" w:hAnsi="微软雅黑" w:eastAsia="微软雅黑" w:cs="宋体"/>
                <w:color w:val="000000"/>
                <w:sz w:val="24"/>
              </w:rPr>
            </w:pPr>
            <w:r>
              <w:rPr>
                <w:rFonts w:hint="eastAsia" w:ascii="微软雅黑" w:hAnsi="微软雅黑" w:eastAsia="微软雅黑" w:cs="宋体"/>
                <w:color w:val="000000"/>
                <w:sz w:val="24"/>
              </w:rPr>
              <w:t>报价合计（万元）：                大写：</w:t>
            </w:r>
          </w:p>
        </w:tc>
      </w:tr>
    </w:tbl>
    <w:p>
      <w:pPr>
        <w:spacing w:line="360" w:lineRule="auto"/>
        <w:ind w:left="425" w:hanging="424" w:hangingChars="177"/>
        <w:jc w:val="left"/>
        <w:rPr>
          <w:rFonts w:ascii="微软雅黑" w:hAnsi="微软雅黑" w:eastAsia="微软雅黑" w:cs="宋体"/>
          <w:color w:val="000000"/>
          <w:sz w:val="24"/>
        </w:rPr>
      </w:pPr>
      <w:r>
        <w:rPr>
          <w:rFonts w:hint="eastAsia" w:ascii="微软雅黑" w:hAnsi="微软雅黑" w:eastAsia="微软雅黑" w:cs="宋体"/>
          <w:color w:val="000000"/>
          <w:sz w:val="24"/>
        </w:rPr>
        <w:t>注：</w:t>
      </w:r>
      <w:r>
        <w:rPr>
          <w:rFonts w:hint="eastAsia" w:ascii="微软雅黑" w:hAnsi="微软雅黑" w:eastAsia="微软雅黑" w:cs="宋体"/>
          <w:color w:val="000000"/>
          <w:sz w:val="24"/>
          <w:lang w:val="en-US" w:eastAsia="zh-CN"/>
        </w:rPr>
        <w:t>1、</w:t>
      </w:r>
      <w:r>
        <w:rPr>
          <w:rFonts w:hint="eastAsia" w:ascii="微软雅黑" w:hAnsi="微软雅黑" w:eastAsia="微软雅黑" w:cs="宋体"/>
          <w:color w:val="000000"/>
          <w:sz w:val="24"/>
        </w:rPr>
        <w:t>报价应是最终用户验收合格后的总价，包括设备运输、保险、代理、安装调试、培训、</w:t>
      </w:r>
      <w:r>
        <w:rPr>
          <w:rFonts w:hint="eastAsia" w:ascii="微软雅黑" w:hAnsi="微软雅黑" w:eastAsia="微软雅黑" w:cs="宋体"/>
          <w:color w:val="000000"/>
          <w:sz w:val="24"/>
          <w:lang w:val="en-US" w:eastAsia="zh-CN"/>
        </w:rPr>
        <w:t>增值</w:t>
      </w:r>
      <w:r>
        <w:rPr>
          <w:rFonts w:hint="eastAsia" w:ascii="微软雅黑" w:hAnsi="微软雅黑" w:eastAsia="微软雅黑" w:cs="宋体"/>
          <w:color w:val="000000"/>
          <w:sz w:val="24"/>
        </w:rPr>
        <w:t>税费、系统集成费用和</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文件规定的其它</w:t>
      </w:r>
      <w:r>
        <w:rPr>
          <w:rFonts w:hint="eastAsia" w:ascii="微软雅黑" w:hAnsi="微软雅黑" w:eastAsia="微软雅黑" w:cs="宋体"/>
          <w:color w:val="000000"/>
          <w:sz w:val="24"/>
          <w:lang w:val="en-US" w:eastAsia="zh-CN"/>
        </w:rPr>
        <w:t>一切</w:t>
      </w:r>
      <w:r>
        <w:rPr>
          <w:rFonts w:hint="eastAsia" w:ascii="微软雅黑" w:hAnsi="微软雅黑" w:eastAsia="微软雅黑" w:cs="宋体"/>
          <w:color w:val="000000"/>
          <w:sz w:val="24"/>
        </w:rPr>
        <w:t xml:space="preserve">费用。 </w:t>
      </w:r>
    </w:p>
    <w:p>
      <w:pPr>
        <w:spacing w:line="360" w:lineRule="auto"/>
        <w:ind w:firstLine="480" w:firstLineChars="200"/>
        <w:jc w:val="left"/>
        <w:rPr>
          <w:rFonts w:hint="eastAsia" w:ascii="微软雅黑" w:hAnsi="微软雅黑" w:eastAsia="微软雅黑" w:cs="宋体"/>
          <w:color w:val="000000"/>
          <w:sz w:val="24"/>
          <w:lang w:val="en-US" w:eastAsia="zh-CN"/>
        </w:rPr>
      </w:pPr>
      <w:r>
        <w:rPr>
          <w:rFonts w:hint="eastAsia" w:ascii="微软雅黑" w:hAnsi="微软雅黑" w:eastAsia="微软雅黑" w:cs="宋体"/>
          <w:color w:val="000000"/>
          <w:sz w:val="24"/>
          <w:lang w:val="en-US" w:eastAsia="zh-CN"/>
        </w:rPr>
        <w:t>2、报价须保留2位小数。</w:t>
      </w:r>
    </w:p>
    <w:p>
      <w:pPr>
        <w:spacing w:line="360" w:lineRule="auto"/>
        <w:ind w:firstLine="480" w:firstLineChars="200"/>
        <w:jc w:val="left"/>
        <w:rPr>
          <w:rFonts w:hint="eastAsia" w:ascii="微软雅黑" w:hAnsi="微软雅黑" w:eastAsia="微软雅黑" w:cs="宋体"/>
          <w:color w:val="000000"/>
          <w:sz w:val="24"/>
          <w:lang w:val="en-US" w:eastAsia="zh-CN"/>
        </w:rPr>
      </w:pPr>
      <w:r>
        <w:rPr>
          <w:rFonts w:hint="eastAsia" w:ascii="微软雅黑" w:hAnsi="微软雅黑" w:eastAsia="微软雅黑" w:cs="宋体"/>
          <w:color w:val="000000"/>
          <w:sz w:val="24"/>
          <w:lang w:val="en-US" w:eastAsia="zh-CN"/>
        </w:rPr>
        <w:t>3、税票须是增值税专用发票。</w:t>
      </w:r>
    </w:p>
    <w:p>
      <w:pPr>
        <w:spacing w:line="360" w:lineRule="auto"/>
        <w:ind w:firstLine="480" w:firstLineChars="200"/>
        <w:jc w:val="left"/>
        <w:rPr>
          <w:rFonts w:ascii="微软雅黑" w:hAnsi="微软雅黑" w:eastAsia="微软雅黑" w:cs="宋体"/>
          <w:color w:val="000000"/>
          <w:sz w:val="24"/>
        </w:rPr>
      </w:pPr>
    </w:p>
    <w:p>
      <w:pPr>
        <w:spacing w:line="360" w:lineRule="auto"/>
        <w:ind w:firstLine="480" w:firstLineChars="200"/>
        <w:jc w:val="left"/>
        <w:rPr>
          <w:rFonts w:ascii="微软雅黑" w:hAnsi="微软雅黑" w:eastAsia="微软雅黑" w:cs="宋体"/>
          <w:color w:val="000000"/>
          <w:sz w:val="24"/>
        </w:rPr>
      </w:pPr>
    </w:p>
    <w:p>
      <w:pPr>
        <w:adjustRightInd w:val="0"/>
        <w:spacing w:line="360" w:lineRule="auto"/>
        <w:ind w:left="0" w:leftChars="0" w:firstLine="3998" w:firstLineChars="1666"/>
        <w:jc w:val="left"/>
        <w:rPr>
          <w:rFonts w:ascii="微软雅黑" w:hAnsi="微软雅黑" w:eastAsia="微软雅黑" w:cs="宋体"/>
          <w:color w:val="000000"/>
          <w:sz w:val="24"/>
        </w:rPr>
      </w:pP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名称：        （盖章）</w:t>
      </w:r>
    </w:p>
    <w:p>
      <w:pPr>
        <w:adjustRightInd w:val="0"/>
        <w:spacing w:line="360" w:lineRule="auto"/>
        <w:ind w:left="0" w:leftChars="0" w:firstLine="3998" w:firstLineChars="1666"/>
        <w:jc w:val="left"/>
        <w:rPr>
          <w:rFonts w:ascii="微软雅黑" w:hAnsi="微软雅黑" w:eastAsia="微软雅黑" w:cs="宋体"/>
          <w:color w:val="000000"/>
          <w:sz w:val="24"/>
        </w:rPr>
      </w:pPr>
      <w:r>
        <w:rPr>
          <w:rFonts w:hint="eastAsia" w:ascii="微软雅黑" w:hAnsi="微软雅黑" w:eastAsia="微软雅黑" w:cs="宋体"/>
          <w:color w:val="000000"/>
          <w:sz w:val="24"/>
        </w:rPr>
        <w:t>法定代表人或授权代表（签字）：</w:t>
      </w:r>
    </w:p>
    <w:p>
      <w:pPr>
        <w:adjustRightInd w:val="0"/>
        <w:spacing w:line="360" w:lineRule="auto"/>
        <w:ind w:left="0" w:leftChars="0" w:firstLine="3998" w:firstLineChars="1666"/>
        <w:jc w:val="left"/>
        <w:rPr>
          <w:rFonts w:ascii="微软雅黑" w:hAnsi="微软雅黑" w:eastAsia="微软雅黑" w:cs="宋体"/>
          <w:color w:val="000000"/>
          <w:sz w:val="24"/>
        </w:rPr>
        <w:sectPr>
          <w:headerReference r:id="rId11" w:type="default"/>
          <w:footerReference r:id="rId12" w:type="default"/>
          <w:pgSz w:w="11907" w:h="16840"/>
          <w:pgMar w:top="1135" w:right="1474" w:bottom="1440" w:left="1474" w:header="851" w:footer="992" w:gutter="0"/>
          <w:cols w:space="720" w:num="1"/>
          <w:docGrid w:type="lines" w:linePitch="312" w:charSpace="0"/>
        </w:sectPr>
      </w:pP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日期：</w:t>
      </w:r>
    </w:p>
    <w:p>
      <w:pPr>
        <w:pStyle w:val="3"/>
        <w:spacing w:line="400" w:lineRule="exact"/>
        <w:jc w:val="center"/>
        <w:rPr>
          <w:rFonts w:ascii="微软雅黑" w:hAnsi="微软雅黑" w:eastAsia="微软雅黑" w:cs="宋体"/>
          <w:bCs w:val="0"/>
          <w:color w:val="000000"/>
          <w:szCs w:val="28"/>
        </w:rPr>
      </w:pPr>
      <w:bookmarkStart w:id="74" w:name="_Toc508133976"/>
      <w:bookmarkStart w:id="75" w:name="_Toc217446088"/>
      <w:r>
        <w:rPr>
          <w:rFonts w:hint="eastAsia" w:ascii="微软雅黑" w:hAnsi="微软雅黑" w:eastAsia="微软雅黑" w:cs="宋体"/>
          <w:bCs w:val="0"/>
          <w:color w:val="000000"/>
          <w:szCs w:val="28"/>
        </w:rPr>
        <w:t>四、分项报价明细表</w:t>
      </w:r>
      <w:bookmarkEnd w:id="74"/>
    </w:p>
    <w:p>
      <w:pPr>
        <w:spacing w:line="400" w:lineRule="exact"/>
        <w:rPr>
          <w:rFonts w:ascii="微软雅黑" w:hAnsi="微软雅黑" w:eastAsia="微软雅黑" w:cs="宋体"/>
          <w:b/>
          <w:bCs/>
          <w:color w:val="000000"/>
          <w:sz w:val="24"/>
        </w:rPr>
      </w:pPr>
      <w:r>
        <w:rPr>
          <w:rFonts w:hint="eastAsia" w:ascii="微软雅黑" w:hAnsi="微软雅黑" w:eastAsia="微软雅黑" w:cs="宋体"/>
          <w:color w:val="000000"/>
          <w:sz w:val="24"/>
        </w:rPr>
        <w:t xml:space="preserve">                                       </w:t>
      </w:r>
    </w:p>
    <w:tbl>
      <w:tblPr>
        <w:tblStyle w:val="23"/>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70"/>
        <w:gridCol w:w="1155"/>
        <w:gridCol w:w="1260"/>
        <w:gridCol w:w="840"/>
        <w:gridCol w:w="840"/>
        <w:gridCol w:w="840"/>
        <w:gridCol w:w="94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exact"/>
          <w:jc w:val="center"/>
        </w:trPr>
        <w:tc>
          <w:tcPr>
            <w:tcW w:w="683"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序号</w:t>
            </w:r>
          </w:p>
        </w:tc>
        <w:tc>
          <w:tcPr>
            <w:tcW w:w="1470"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制造厂商</w:t>
            </w:r>
          </w:p>
        </w:tc>
        <w:tc>
          <w:tcPr>
            <w:tcW w:w="1155"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产品名称及型号</w:t>
            </w:r>
          </w:p>
        </w:tc>
        <w:tc>
          <w:tcPr>
            <w:tcW w:w="1260"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模块名称</w:t>
            </w:r>
          </w:p>
        </w:tc>
        <w:tc>
          <w:tcPr>
            <w:tcW w:w="840"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单位</w:t>
            </w:r>
          </w:p>
        </w:tc>
        <w:tc>
          <w:tcPr>
            <w:tcW w:w="840"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数量</w:t>
            </w:r>
          </w:p>
        </w:tc>
        <w:tc>
          <w:tcPr>
            <w:tcW w:w="840"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单价</w:t>
            </w:r>
          </w:p>
        </w:tc>
        <w:tc>
          <w:tcPr>
            <w:tcW w:w="945"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金额</w:t>
            </w:r>
          </w:p>
        </w:tc>
        <w:tc>
          <w:tcPr>
            <w:tcW w:w="1242" w:type="dxa"/>
            <w:vAlign w:val="center"/>
          </w:tcPr>
          <w:p>
            <w:pPr>
              <w:snapToGrid w:val="0"/>
              <w:spacing w:line="400" w:lineRule="exact"/>
              <w:ind w:firstLine="105" w:firstLineChars="50"/>
              <w:jc w:val="center"/>
              <w:rPr>
                <w:rFonts w:ascii="微软雅黑" w:hAnsi="微软雅黑" w:eastAsia="微软雅黑" w:cs="宋体"/>
                <w:color w:val="000000"/>
                <w:szCs w:val="21"/>
              </w:rPr>
            </w:pPr>
            <w:r>
              <w:rPr>
                <w:rFonts w:hint="eastAsia" w:ascii="微软雅黑" w:hAnsi="微软雅黑" w:eastAsia="微软雅黑"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126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126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126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126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126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126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126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126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8592" w:type="dxa"/>
            <w:gridSpan w:val="8"/>
            <w:vAlign w:val="center"/>
          </w:tcPr>
          <w:p>
            <w:pPr>
              <w:snapToGrid w:val="0"/>
              <w:spacing w:line="400" w:lineRule="exact"/>
              <w:jc w:val="left"/>
              <w:rPr>
                <w:rFonts w:ascii="微软雅黑" w:hAnsi="微软雅黑" w:eastAsia="微软雅黑" w:cs="宋体"/>
                <w:color w:val="000000"/>
                <w:szCs w:val="21"/>
              </w:rPr>
            </w:pPr>
            <w:r>
              <w:rPr>
                <w:rFonts w:hint="eastAsia" w:ascii="微软雅黑" w:hAnsi="微软雅黑" w:eastAsia="微软雅黑" w:cs="宋体"/>
                <w:color w:val="000000"/>
                <w:szCs w:val="21"/>
              </w:rPr>
              <w:t>分项报价合计（万元）：</w:t>
            </w:r>
          </w:p>
        </w:tc>
      </w:tr>
    </w:tbl>
    <w:p>
      <w:pPr>
        <w:spacing w:line="360" w:lineRule="auto"/>
        <w:ind w:left="840" w:hanging="840" w:hangingChars="350"/>
        <w:rPr>
          <w:rFonts w:ascii="微软雅黑" w:hAnsi="微软雅黑" w:eastAsia="微软雅黑" w:cs="宋体"/>
          <w:bCs/>
          <w:color w:val="000000"/>
          <w:sz w:val="24"/>
        </w:rPr>
      </w:pPr>
      <w:r>
        <w:rPr>
          <w:rFonts w:hint="eastAsia" w:ascii="微软雅黑" w:hAnsi="微软雅黑" w:eastAsia="微软雅黑" w:cs="宋体"/>
          <w:color w:val="000000"/>
          <w:sz w:val="24"/>
        </w:rPr>
        <w:t>注： 1、</w:t>
      </w: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必须按“</w:t>
      </w:r>
      <w:r>
        <w:rPr>
          <w:rFonts w:hint="eastAsia" w:ascii="微软雅黑" w:hAnsi="微软雅黑" w:eastAsia="微软雅黑" w:cs="宋体"/>
          <w:bCs/>
          <w:color w:val="000000"/>
          <w:sz w:val="24"/>
        </w:rPr>
        <w:t>分项报价明细表”</w:t>
      </w:r>
      <w:r>
        <w:rPr>
          <w:rFonts w:hint="eastAsia" w:ascii="微软雅黑" w:hAnsi="微软雅黑" w:eastAsia="微软雅黑" w:cs="宋体"/>
          <w:color w:val="000000"/>
          <w:sz w:val="24"/>
        </w:rPr>
        <w:t>详细报出</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总价的各个组成部分的报价，否则作无效</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处理。</w:t>
      </w:r>
    </w:p>
    <w:p>
      <w:pPr>
        <w:numPr>
          <w:ilvl w:val="0"/>
          <w:numId w:val="5"/>
        </w:numPr>
        <w:spacing w:line="360" w:lineRule="auto"/>
        <w:ind w:left="838" w:leftChars="285" w:hanging="240" w:hangingChars="100"/>
        <w:rPr>
          <w:rFonts w:hint="eastAsia" w:ascii="微软雅黑" w:hAnsi="微软雅黑" w:eastAsia="微软雅黑" w:cs="宋体"/>
          <w:bCs/>
          <w:color w:val="000000"/>
          <w:sz w:val="24"/>
        </w:rPr>
      </w:pPr>
      <w:r>
        <w:rPr>
          <w:rFonts w:hint="eastAsia" w:ascii="微软雅黑" w:hAnsi="微软雅黑" w:eastAsia="微软雅黑" w:cs="宋体"/>
          <w:color w:val="000000"/>
          <w:sz w:val="24"/>
        </w:rPr>
        <w:t>“</w:t>
      </w:r>
      <w:r>
        <w:rPr>
          <w:rFonts w:hint="eastAsia" w:ascii="微软雅黑" w:hAnsi="微软雅黑" w:eastAsia="微软雅黑" w:cs="宋体"/>
          <w:bCs/>
          <w:color w:val="000000"/>
          <w:sz w:val="24"/>
        </w:rPr>
        <w:t>分项报价明细表”各分项报价合计应当与“报价总表”报价合计相等。</w:t>
      </w:r>
    </w:p>
    <w:p>
      <w:pPr>
        <w:numPr>
          <w:ilvl w:val="0"/>
          <w:numId w:val="5"/>
        </w:numPr>
        <w:spacing w:line="360" w:lineRule="auto"/>
        <w:ind w:left="838" w:leftChars="285" w:hanging="240" w:hangingChars="100"/>
        <w:rPr>
          <w:rFonts w:hint="eastAsia" w:ascii="微软雅黑" w:hAnsi="微软雅黑" w:eastAsia="微软雅黑" w:cs="宋体"/>
          <w:bCs/>
          <w:color w:val="000000" w:themeColor="text1"/>
          <w:sz w:val="24"/>
          <w14:textFill>
            <w14:solidFill>
              <w14:schemeClr w14:val="tx1"/>
            </w14:solidFill>
          </w14:textFill>
        </w:rPr>
      </w:pPr>
      <w:r>
        <w:rPr>
          <w:rFonts w:hint="eastAsia" w:ascii="微软雅黑" w:hAnsi="微软雅黑" w:eastAsia="微软雅黑" w:cs="宋体"/>
          <w:bCs/>
          <w:color w:val="000000" w:themeColor="text1"/>
          <w:sz w:val="24"/>
          <w:lang w:val="en-US" w:eastAsia="zh-CN"/>
          <w14:textFill>
            <w14:solidFill>
              <w14:schemeClr w14:val="tx1"/>
            </w14:solidFill>
          </w14:textFill>
        </w:rPr>
        <w:t>对本项目的内容未进行分项报价的，视为已包含在其他分项报价或总价中，结算时不再增加费用。</w:t>
      </w:r>
    </w:p>
    <w:p>
      <w:pPr>
        <w:adjustRightInd w:val="0"/>
        <w:spacing w:line="360" w:lineRule="auto"/>
        <w:ind w:firstLine="560" w:firstLineChars="200"/>
        <w:jc w:val="left"/>
        <w:rPr>
          <w:rFonts w:ascii="微软雅黑" w:hAnsi="微软雅黑" w:eastAsia="微软雅黑" w:cs="宋体"/>
          <w:color w:val="000000"/>
          <w:sz w:val="28"/>
        </w:rPr>
      </w:pPr>
    </w:p>
    <w:p>
      <w:pPr>
        <w:adjustRightInd w:val="0"/>
        <w:spacing w:line="360" w:lineRule="auto"/>
        <w:ind w:left="0" w:leftChars="0" w:firstLine="3780" w:firstLineChars="1575"/>
        <w:jc w:val="left"/>
        <w:rPr>
          <w:rFonts w:ascii="微软雅黑" w:hAnsi="微软雅黑" w:eastAsia="微软雅黑" w:cs="宋体"/>
          <w:color w:val="000000"/>
          <w:sz w:val="24"/>
        </w:rPr>
      </w:pPr>
      <w:r>
        <w:rPr>
          <w:rFonts w:hint="eastAsia" w:ascii="微软雅黑" w:hAnsi="微软雅黑" w:eastAsia="微软雅黑" w:cs="宋体"/>
          <w:color w:val="000000"/>
          <w:sz w:val="24"/>
          <w:lang w:eastAsia="zh-CN"/>
        </w:rPr>
        <w:t>申请人</w:t>
      </w:r>
      <w:r>
        <w:rPr>
          <w:rFonts w:hint="eastAsia" w:ascii="微软雅黑" w:hAnsi="微软雅黑" w:eastAsia="微软雅黑" w:cs="宋体"/>
          <w:color w:val="000000"/>
          <w:sz w:val="24"/>
        </w:rPr>
        <w:t>名称：        （盖章）</w:t>
      </w:r>
    </w:p>
    <w:p>
      <w:pPr>
        <w:adjustRightInd w:val="0"/>
        <w:spacing w:line="360" w:lineRule="auto"/>
        <w:ind w:left="0" w:leftChars="0" w:firstLine="3780" w:firstLineChars="1575"/>
        <w:jc w:val="left"/>
        <w:rPr>
          <w:rFonts w:ascii="微软雅黑" w:hAnsi="微软雅黑" w:eastAsia="微软雅黑" w:cs="宋体"/>
          <w:color w:val="000000"/>
          <w:sz w:val="24"/>
        </w:rPr>
      </w:pPr>
      <w:r>
        <w:rPr>
          <w:rFonts w:hint="eastAsia" w:ascii="微软雅黑" w:hAnsi="微软雅黑" w:eastAsia="微软雅黑" w:cs="宋体"/>
          <w:color w:val="000000"/>
          <w:sz w:val="24"/>
        </w:rPr>
        <w:t>法定代表人或授权代表（签字）：</w:t>
      </w:r>
    </w:p>
    <w:p>
      <w:pPr>
        <w:adjustRightInd w:val="0"/>
        <w:spacing w:line="360" w:lineRule="auto"/>
        <w:ind w:left="0" w:leftChars="0" w:firstLine="3780" w:firstLineChars="1575"/>
        <w:jc w:val="left"/>
        <w:rPr>
          <w:rFonts w:ascii="微软雅黑" w:hAnsi="微软雅黑" w:eastAsia="微软雅黑" w:cs="宋体"/>
          <w:color w:val="000000"/>
          <w:sz w:val="28"/>
        </w:rPr>
        <w:sectPr>
          <w:pgSz w:w="11907" w:h="16840"/>
          <w:pgMar w:top="1440" w:right="1474" w:bottom="1440" w:left="1474" w:header="851" w:footer="992" w:gutter="0"/>
          <w:cols w:space="720" w:num="1"/>
          <w:docGrid w:type="lines" w:linePitch="312" w:charSpace="0"/>
        </w:sectPr>
      </w:pP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日期：</w:t>
      </w:r>
    </w:p>
    <w:p>
      <w:pPr>
        <w:pStyle w:val="3"/>
        <w:spacing w:line="400" w:lineRule="exact"/>
        <w:jc w:val="center"/>
        <w:rPr>
          <w:rFonts w:ascii="微软雅黑" w:hAnsi="微软雅黑" w:eastAsia="微软雅黑" w:cs="宋体"/>
          <w:color w:val="000000"/>
          <w:kern w:val="0"/>
          <w:sz w:val="20"/>
        </w:rPr>
      </w:pPr>
      <w:bookmarkStart w:id="76" w:name="_Toc508133977"/>
      <w:r>
        <w:rPr>
          <w:rFonts w:hint="eastAsia" w:ascii="微软雅黑" w:hAnsi="微软雅黑" w:eastAsia="微软雅黑" w:cs="宋体"/>
          <w:bCs w:val="0"/>
          <w:color w:val="000000"/>
          <w:kern w:val="0"/>
          <w:szCs w:val="28"/>
        </w:rPr>
        <w:t>五、</w:t>
      </w:r>
      <w:r>
        <w:rPr>
          <w:rFonts w:hint="eastAsia" w:ascii="微软雅黑" w:hAnsi="微软雅黑" w:eastAsia="微软雅黑" w:cs="宋体"/>
          <w:bCs w:val="0"/>
          <w:color w:val="000000"/>
          <w:kern w:val="0"/>
          <w:szCs w:val="28"/>
          <w:lang w:eastAsia="zh-CN"/>
        </w:rPr>
        <w:t>申请人</w:t>
      </w:r>
      <w:r>
        <w:rPr>
          <w:rFonts w:hint="eastAsia" w:ascii="微软雅黑" w:hAnsi="微软雅黑" w:eastAsia="微软雅黑" w:cs="宋体"/>
          <w:bCs w:val="0"/>
          <w:color w:val="000000"/>
          <w:kern w:val="0"/>
          <w:szCs w:val="28"/>
        </w:rPr>
        <w:t>基本情况表</w:t>
      </w:r>
      <w:bookmarkEnd w:id="75"/>
      <w:bookmarkEnd w:id="76"/>
    </w:p>
    <w:tbl>
      <w:tblPr>
        <w:tblStyle w:val="23"/>
        <w:tblW w:w="9073" w:type="dxa"/>
        <w:tblInd w:w="-31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34"/>
        <w:gridCol w:w="978"/>
        <w:gridCol w:w="1215"/>
        <w:gridCol w:w="1248"/>
        <w:gridCol w:w="8"/>
        <w:gridCol w:w="1318"/>
        <w:gridCol w:w="160"/>
        <w:gridCol w:w="1012"/>
        <w:gridCol w:w="13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lang w:eastAsia="zh-CN"/>
              </w:rPr>
              <w:t>申请人</w:t>
            </w:r>
            <w:r>
              <w:rPr>
                <w:rFonts w:hint="eastAsia" w:ascii="微软雅黑" w:hAnsi="微软雅黑" w:eastAsia="微软雅黑" w:cs="宋体"/>
                <w:color w:val="000000"/>
                <w:kern w:val="0"/>
                <w:szCs w:val="21"/>
              </w:rPr>
              <w:t>名称</w:t>
            </w:r>
          </w:p>
        </w:tc>
        <w:tc>
          <w:tcPr>
            <w:tcW w:w="7239" w:type="dxa"/>
            <w:gridSpan w:val="8"/>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注册地址</w:t>
            </w:r>
          </w:p>
        </w:tc>
        <w:tc>
          <w:tcPr>
            <w:tcW w:w="3449" w:type="dxa"/>
            <w:gridSpan w:val="4"/>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31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邮政编码</w:t>
            </w:r>
          </w:p>
        </w:tc>
        <w:tc>
          <w:tcPr>
            <w:tcW w:w="2472"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93"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联系方式</w:t>
            </w:r>
          </w:p>
        </w:tc>
        <w:tc>
          <w:tcPr>
            <w:tcW w:w="97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联系人</w:t>
            </w:r>
          </w:p>
        </w:tc>
        <w:tc>
          <w:tcPr>
            <w:tcW w:w="246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326"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电话</w:t>
            </w:r>
          </w:p>
        </w:tc>
        <w:tc>
          <w:tcPr>
            <w:tcW w:w="2472"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9"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组织结构</w:t>
            </w:r>
          </w:p>
        </w:tc>
        <w:tc>
          <w:tcPr>
            <w:tcW w:w="7239" w:type="dxa"/>
            <w:gridSpan w:val="8"/>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法定代表人</w:t>
            </w:r>
          </w:p>
        </w:tc>
        <w:tc>
          <w:tcPr>
            <w:tcW w:w="97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姓名</w:t>
            </w:r>
          </w:p>
        </w:tc>
        <w:tc>
          <w:tcPr>
            <w:tcW w:w="1215"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技术职称</w:t>
            </w:r>
          </w:p>
        </w:tc>
        <w:tc>
          <w:tcPr>
            <w:tcW w:w="1326"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172"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电话</w:t>
            </w:r>
          </w:p>
        </w:tc>
        <w:tc>
          <w:tcPr>
            <w:tcW w:w="1300" w:type="dxa"/>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技术负责人</w:t>
            </w:r>
          </w:p>
        </w:tc>
        <w:tc>
          <w:tcPr>
            <w:tcW w:w="97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姓名</w:t>
            </w:r>
          </w:p>
        </w:tc>
        <w:tc>
          <w:tcPr>
            <w:tcW w:w="1215"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技术职称</w:t>
            </w:r>
          </w:p>
        </w:tc>
        <w:tc>
          <w:tcPr>
            <w:tcW w:w="1326"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172"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电话</w:t>
            </w:r>
          </w:p>
        </w:tc>
        <w:tc>
          <w:tcPr>
            <w:tcW w:w="1300" w:type="dxa"/>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成立时间</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5046" w:type="dxa"/>
            <w:gridSpan w:val="6"/>
            <w:vAlign w:val="center"/>
          </w:tcPr>
          <w:p>
            <w:pPr>
              <w:autoSpaceDE w:val="0"/>
              <w:autoSpaceDN w:val="0"/>
              <w:adjustRightInd w:val="0"/>
              <w:spacing w:line="400" w:lineRule="exact"/>
              <w:ind w:firstLine="1470" w:firstLineChars="70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营业执照号</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Merge w:val="restart"/>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其中</w:t>
            </w:r>
          </w:p>
        </w:tc>
        <w:tc>
          <w:tcPr>
            <w:tcW w:w="1486"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项目经理</w:t>
            </w:r>
          </w:p>
        </w:tc>
        <w:tc>
          <w:tcPr>
            <w:tcW w:w="2312" w:type="dxa"/>
            <w:gridSpan w:val="2"/>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注册资金</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Merge w:val="continue"/>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486"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高级职称人员</w:t>
            </w:r>
          </w:p>
        </w:tc>
        <w:tc>
          <w:tcPr>
            <w:tcW w:w="2312" w:type="dxa"/>
            <w:gridSpan w:val="2"/>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开户银行</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Merge w:val="continue"/>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486"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中级职称人员</w:t>
            </w:r>
          </w:p>
        </w:tc>
        <w:tc>
          <w:tcPr>
            <w:tcW w:w="2312" w:type="dxa"/>
            <w:gridSpan w:val="2"/>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6"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账号</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Merge w:val="continue"/>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486"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初级职称人员</w:t>
            </w:r>
          </w:p>
        </w:tc>
        <w:tc>
          <w:tcPr>
            <w:tcW w:w="2312" w:type="dxa"/>
            <w:gridSpan w:val="2"/>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3384"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经营范围</w:t>
            </w:r>
          </w:p>
        </w:tc>
        <w:tc>
          <w:tcPr>
            <w:tcW w:w="7239" w:type="dxa"/>
            <w:gridSpan w:val="8"/>
            <w:vAlign w:val="center"/>
          </w:tcPr>
          <w:p>
            <w:pPr>
              <w:autoSpaceDE w:val="0"/>
              <w:autoSpaceDN w:val="0"/>
              <w:adjustRightInd w:val="0"/>
              <w:spacing w:line="400" w:lineRule="exact"/>
              <w:rPr>
                <w:rFonts w:ascii="微软雅黑" w:hAnsi="微软雅黑" w:eastAsia="微软雅黑" w:cs="宋体"/>
                <w:b/>
                <w:bCs/>
                <w:color w:val="000000"/>
                <w:kern w:val="0"/>
                <w:szCs w:val="21"/>
              </w:rPr>
            </w:pPr>
          </w:p>
          <w:p>
            <w:pPr>
              <w:autoSpaceDE w:val="0"/>
              <w:autoSpaceDN w:val="0"/>
              <w:adjustRightInd w:val="0"/>
              <w:spacing w:line="400" w:lineRule="exact"/>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备注</w:t>
            </w:r>
          </w:p>
        </w:tc>
        <w:tc>
          <w:tcPr>
            <w:tcW w:w="7239" w:type="dxa"/>
            <w:gridSpan w:val="8"/>
            <w:vAlign w:val="center"/>
          </w:tcPr>
          <w:p>
            <w:pPr>
              <w:autoSpaceDE w:val="0"/>
              <w:autoSpaceDN w:val="0"/>
              <w:adjustRightInd w:val="0"/>
              <w:spacing w:line="400" w:lineRule="exact"/>
              <w:jc w:val="left"/>
              <w:rPr>
                <w:rFonts w:ascii="微软雅黑" w:hAnsi="微软雅黑" w:eastAsia="微软雅黑" w:cs="宋体"/>
                <w:color w:val="000000"/>
                <w:kern w:val="0"/>
                <w:szCs w:val="21"/>
              </w:rPr>
            </w:pPr>
          </w:p>
        </w:tc>
      </w:tr>
    </w:tbl>
    <w:p>
      <w:pPr>
        <w:adjustRightInd w:val="0"/>
        <w:spacing w:line="360" w:lineRule="auto"/>
        <w:ind w:firstLine="420" w:firstLineChars="175"/>
        <w:jc w:val="left"/>
        <w:rPr>
          <w:rFonts w:ascii="微软雅黑" w:hAnsi="微软雅黑" w:eastAsia="微软雅黑" w:cs="宋体"/>
          <w:bCs/>
          <w:color w:val="000000"/>
          <w:sz w:val="24"/>
        </w:rPr>
      </w:pPr>
    </w:p>
    <w:p>
      <w:pPr>
        <w:adjustRightInd w:val="0"/>
        <w:spacing w:line="360" w:lineRule="auto"/>
        <w:ind w:firstLine="420" w:firstLineChars="175"/>
        <w:jc w:val="left"/>
        <w:rPr>
          <w:rFonts w:ascii="微软雅黑" w:hAnsi="微软雅黑" w:eastAsia="微软雅黑" w:cs="宋体"/>
          <w:bCs/>
          <w:color w:val="000000"/>
          <w:sz w:val="24"/>
        </w:rPr>
      </w:pPr>
      <w:r>
        <w:rPr>
          <w:rFonts w:hint="eastAsia" w:ascii="微软雅黑" w:hAnsi="微软雅黑" w:eastAsia="微软雅黑" w:cs="宋体"/>
          <w:bCs/>
          <w:color w:val="000000"/>
          <w:sz w:val="24"/>
          <w:lang w:eastAsia="zh-CN"/>
        </w:rPr>
        <w:t>申请人</w:t>
      </w:r>
      <w:r>
        <w:rPr>
          <w:rFonts w:hint="eastAsia" w:ascii="微软雅黑" w:hAnsi="微软雅黑" w:eastAsia="微软雅黑" w:cs="宋体"/>
          <w:bCs/>
          <w:color w:val="000000"/>
          <w:sz w:val="24"/>
        </w:rPr>
        <w:t>名称：        （盖章）</w:t>
      </w:r>
    </w:p>
    <w:p>
      <w:pPr>
        <w:adjustRightInd w:val="0"/>
        <w:spacing w:line="360" w:lineRule="auto"/>
        <w:ind w:firstLine="420" w:firstLineChars="175"/>
        <w:jc w:val="left"/>
        <w:rPr>
          <w:rFonts w:ascii="微软雅黑" w:hAnsi="微软雅黑" w:eastAsia="微软雅黑" w:cs="宋体"/>
          <w:bCs/>
          <w:color w:val="000000"/>
          <w:sz w:val="24"/>
        </w:rPr>
      </w:pPr>
      <w:r>
        <w:rPr>
          <w:rFonts w:hint="eastAsia" w:ascii="微软雅黑" w:hAnsi="微软雅黑" w:eastAsia="微软雅黑" w:cs="宋体"/>
          <w:color w:val="000000"/>
          <w:sz w:val="24"/>
        </w:rPr>
        <w:t>法定代表人或授权代表（签字）</w:t>
      </w:r>
      <w:r>
        <w:rPr>
          <w:rFonts w:hint="eastAsia" w:ascii="微软雅黑" w:hAnsi="微软雅黑" w:eastAsia="微软雅黑" w:cs="宋体"/>
          <w:bCs/>
          <w:color w:val="000000"/>
          <w:sz w:val="24"/>
        </w:rPr>
        <w:t>：</w:t>
      </w:r>
    </w:p>
    <w:p>
      <w:pPr>
        <w:adjustRightInd w:val="0"/>
        <w:spacing w:line="360" w:lineRule="auto"/>
        <w:ind w:firstLine="420" w:firstLineChars="175"/>
        <w:jc w:val="left"/>
        <w:rPr>
          <w:rFonts w:ascii="微软雅黑" w:hAnsi="微软雅黑" w:eastAsia="微软雅黑" w:cs="宋体"/>
          <w:color w:val="000000"/>
        </w:rPr>
      </w:pPr>
      <w:r>
        <w:rPr>
          <w:rFonts w:hint="eastAsia" w:ascii="微软雅黑" w:hAnsi="微软雅黑" w:eastAsia="微软雅黑" w:cs="宋体"/>
          <w:bCs/>
          <w:color w:val="000000"/>
          <w:sz w:val="24"/>
          <w:lang w:eastAsia="zh-CN"/>
        </w:rPr>
        <w:t>磋商</w:t>
      </w:r>
      <w:r>
        <w:rPr>
          <w:rFonts w:hint="eastAsia" w:ascii="微软雅黑" w:hAnsi="微软雅黑" w:eastAsia="微软雅黑" w:cs="宋体"/>
          <w:bCs/>
          <w:color w:val="000000"/>
          <w:sz w:val="24"/>
        </w:rPr>
        <w:t>日期:</w:t>
      </w:r>
    </w:p>
    <w:p>
      <w:pPr>
        <w:pStyle w:val="2"/>
        <w:spacing w:line="360" w:lineRule="auto"/>
        <w:jc w:val="center"/>
        <w:rPr>
          <w:rFonts w:ascii="微软雅黑" w:hAnsi="微软雅黑" w:eastAsia="微软雅黑"/>
          <w:b w:val="0"/>
          <w:bCs w:val="0"/>
          <w:sz w:val="36"/>
          <w:szCs w:val="36"/>
        </w:rPr>
      </w:pPr>
      <w:bookmarkStart w:id="77" w:name="_Toc217446093"/>
      <w:bookmarkStart w:id="78" w:name="_Toc508133978"/>
      <w:r>
        <w:rPr>
          <w:rFonts w:hint="eastAsia" w:ascii="微软雅黑" w:hAnsi="微软雅黑" w:eastAsia="微软雅黑"/>
          <w:b w:val="0"/>
          <w:bCs w:val="0"/>
          <w:sz w:val="36"/>
          <w:szCs w:val="36"/>
        </w:rPr>
        <w:t>第四章 项目技术要求</w:t>
      </w:r>
      <w:bookmarkEnd w:id="77"/>
      <w:bookmarkEnd w:id="78"/>
    </w:p>
    <w:p>
      <w:pPr>
        <w:pStyle w:val="3"/>
        <w:spacing w:line="360" w:lineRule="auto"/>
        <w:jc w:val="left"/>
        <w:rPr>
          <w:rFonts w:ascii="微软雅黑" w:hAnsi="微软雅黑" w:eastAsia="微软雅黑" w:cs="宋体"/>
          <w:b w:val="0"/>
          <w:bCs w:val="0"/>
          <w:color w:val="000000"/>
        </w:rPr>
      </w:pPr>
      <w:bookmarkStart w:id="79" w:name="_Toc402188350"/>
      <w:bookmarkStart w:id="80" w:name="_Toc508133979"/>
      <w:bookmarkStart w:id="81" w:name="_Toc369777602"/>
      <w:bookmarkStart w:id="82" w:name="_Toc372821864"/>
      <w:bookmarkStart w:id="83" w:name="_Toc402188411"/>
      <w:bookmarkStart w:id="84" w:name="_Toc415650382"/>
      <w:bookmarkStart w:id="85" w:name="_Toc373443469"/>
      <w:bookmarkStart w:id="86" w:name="_Toc183682415"/>
      <w:bookmarkStart w:id="87" w:name="_Toc208849007"/>
      <w:bookmarkStart w:id="88" w:name="_Toc183582280"/>
      <w:bookmarkStart w:id="89" w:name="_Toc217446097"/>
      <w:r>
        <w:rPr>
          <w:rFonts w:hint="eastAsia" w:ascii="微软雅黑" w:hAnsi="微软雅黑" w:eastAsia="微软雅黑" w:cs="宋体"/>
          <w:b w:val="0"/>
          <w:bCs w:val="0"/>
          <w:color w:val="000000"/>
        </w:rPr>
        <w:t>一、项目背景</w:t>
      </w:r>
      <w:bookmarkEnd w:id="79"/>
      <w:bookmarkEnd w:id="80"/>
      <w:bookmarkEnd w:id="81"/>
      <w:bookmarkEnd w:id="82"/>
      <w:bookmarkEnd w:id="83"/>
      <w:bookmarkEnd w:id="84"/>
      <w:bookmarkEnd w:id="85"/>
    </w:p>
    <w:p>
      <w:pPr>
        <w:spacing w:line="360" w:lineRule="auto"/>
        <w:ind w:firstLine="420"/>
        <w:rPr>
          <w:rFonts w:asciiTheme="minorEastAsia" w:hAnsiTheme="minorEastAsia" w:eastAsiaTheme="minorEastAsia"/>
          <w:szCs w:val="21"/>
        </w:rPr>
      </w:pPr>
      <w:bookmarkStart w:id="90" w:name="_Toc402188351"/>
      <w:bookmarkStart w:id="91" w:name="_Toc372821865"/>
      <w:bookmarkStart w:id="92" w:name="_Toc369777603"/>
      <w:bookmarkStart w:id="93" w:name="_Toc415650383"/>
      <w:bookmarkStart w:id="94" w:name="_Toc373443470"/>
      <w:bookmarkStart w:id="95" w:name="_Toc402188412"/>
      <w:r>
        <w:rPr>
          <w:rFonts w:hint="eastAsia" w:asciiTheme="minorEastAsia" w:hAnsiTheme="minorEastAsia" w:eastAsiaTheme="minorEastAsia"/>
          <w:szCs w:val="21"/>
        </w:rPr>
        <w:t>泸州兴阳投资集团有限公司随着不断的高速发展，人员及组织规模的不断增加，在发展的同时也要面对公司统一管理的科学化、规范化等问题。 随着管理工作的不断纵深化，以及工作内容的不断增加，应对市场竞争业务的复杂性和多变性，迫切需要的通过协同办公平台来解决公司成长所带来的管理任务重、工作量大、执行监管难度大、信息不畅、人力不足等问题。</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为解决上述问题，泸州兴阳投资集团有限公司力争在较短时间内，依据泸州兴阳投资集团有限公司整体的战略框架，搭建一个高速、安全、稳定可靠、经济实用、方便操作的协同</w:t>
      </w:r>
      <w:r>
        <w:rPr>
          <w:rFonts w:asciiTheme="minorEastAsia" w:hAnsiTheme="minorEastAsia" w:eastAsiaTheme="minorEastAsia"/>
          <w:szCs w:val="21"/>
        </w:rPr>
        <w:t>办公平台</w:t>
      </w:r>
      <w:r>
        <w:rPr>
          <w:rFonts w:hint="eastAsia" w:asciiTheme="minorEastAsia" w:hAnsiTheme="minorEastAsia" w:eastAsiaTheme="minorEastAsia"/>
          <w:szCs w:val="21"/>
        </w:rPr>
        <w:t>，全面实现泸州兴阳投资集团有限公司</w:t>
      </w:r>
      <w:r>
        <w:rPr>
          <w:rFonts w:hint="eastAsia" w:asciiTheme="minorEastAsia" w:hAnsiTheme="minorEastAsia" w:eastAsiaTheme="minorEastAsia"/>
          <w:szCs w:val="21"/>
          <w:lang w:val="en-US" w:eastAsia="zh-CN"/>
        </w:rPr>
        <w:t>及子公司</w:t>
      </w:r>
      <w:r>
        <w:rPr>
          <w:rFonts w:hint="eastAsia" w:asciiTheme="minorEastAsia" w:hAnsiTheme="minorEastAsia" w:eastAsiaTheme="minorEastAsia"/>
          <w:szCs w:val="21"/>
        </w:rPr>
        <w:t>办公自动化、信息资源共享化、审批</w:t>
      </w:r>
      <w:r>
        <w:rPr>
          <w:rFonts w:asciiTheme="minorEastAsia" w:hAnsiTheme="minorEastAsia" w:eastAsiaTheme="minorEastAsia"/>
          <w:szCs w:val="21"/>
        </w:rPr>
        <w:t>移动化、</w:t>
      </w:r>
      <w:r>
        <w:rPr>
          <w:rFonts w:hint="eastAsia" w:asciiTheme="minorEastAsia" w:hAnsiTheme="minorEastAsia" w:eastAsiaTheme="minorEastAsia"/>
          <w:szCs w:val="21"/>
        </w:rPr>
        <w:t>决策相对智能化，从而推动泸州兴阳投资集团有限公司职能转变和信息公开，提高工作效率，降低内部管理费用，增强泸州兴阳投资集团有限公司的监管和服务能力。</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通过</w:t>
      </w:r>
      <w:r>
        <w:rPr>
          <w:rFonts w:asciiTheme="minorEastAsia" w:hAnsiTheme="minorEastAsia" w:eastAsiaTheme="minorEastAsia"/>
          <w:szCs w:val="21"/>
        </w:rPr>
        <w:t>OA</w:t>
      </w:r>
      <w:r>
        <w:rPr>
          <w:rFonts w:hint="eastAsia" w:asciiTheme="minorEastAsia" w:hAnsiTheme="minorEastAsia" w:eastAsiaTheme="minorEastAsia"/>
          <w:szCs w:val="21"/>
        </w:rPr>
        <w:t>建设，构建公司</w:t>
      </w:r>
      <w:r>
        <w:rPr>
          <w:rFonts w:hint="eastAsia" w:asciiTheme="minorEastAsia" w:hAnsiTheme="minorEastAsia" w:eastAsiaTheme="minorEastAsia"/>
          <w:szCs w:val="21"/>
          <w:lang w:val="en-US" w:eastAsia="zh-CN"/>
        </w:rPr>
        <w:t>部门和子公司门户</w:t>
      </w:r>
      <w:r>
        <w:rPr>
          <w:rFonts w:hint="eastAsia" w:asciiTheme="minorEastAsia" w:hAnsiTheme="minorEastAsia" w:eastAsiaTheme="minorEastAsia"/>
          <w:szCs w:val="21"/>
        </w:rPr>
        <w:t>，实现公司信息共享平台的搭建，建立统一的、基于角色的和个性化的信息访问、集成平台，为公司未来各类信息系统建设奠定良好的基础。充分考虑未来发展需要，统一规划、分步实施、逐步扩展，保证系统完整性，构建开放性好、兼容性强的协同管理应用支撑平台。</w:t>
      </w:r>
    </w:p>
    <w:p>
      <w:pPr>
        <w:pStyle w:val="3"/>
        <w:spacing w:line="360" w:lineRule="auto"/>
        <w:jc w:val="left"/>
        <w:rPr>
          <w:rFonts w:ascii="微软雅黑" w:hAnsi="微软雅黑" w:eastAsia="微软雅黑" w:cs="宋体"/>
          <w:b w:val="0"/>
          <w:bCs w:val="0"/>
          <w:color w:val="000000"/>
        </w:rPr>
      </w:pPr>
      <w:bookmarkStart w:id="96" w:name="_Toc508133980"/>
      <w:r>
        <w:rPr>
          <w:rFonts w:hint="eastAsia" w:ascii="微软雅黑" w:hAnsi="微软雅黑" w:eastAsia="微软雅黑" w:cs="宋体"/>
          <w:b w:val="0"/>
          <w:bCs w:val="0"/>
          <w:color w:val="000000"/>
        </w:rPr>
        <w:t>二、建设原则</w:t>
      </w:r>
      <w:bookmarkEnd w:id="96"/>
    </w:p>
    <w:p>
      <w:pPr>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OA办公系统</w:t>
      </w:r>
      <w:r>
        <w:rPr>
          <w:rFonts w:hint="eastAsia" w:asciiTheme="minorEastAsia" w:hAnsiTheme="minorEastAsia" w:eastAsiaTheme="minorEastAsia"/>
          <w:szCs w:val="21"/>
        </w:rPr>
        <w:t>的设计采用开放式的SOA技术架构，实现组件化设计；采用B/S架构，支持本地化或云端部署，客户端通过浏览器即可方便使用，尽可能降低系统的维护和使用成本，便于系统今后的推广应用；并在力求满足功能要求的同时，要始终坚持以人为本的设计风格，应用界面友好、操作快捷简便、安全性高、性能稳定、维护使用方便、提供</w:t>
      </w:r>
      <w:r>
        <w:rPr>
          <w:rFonts w:asciiTheme="minorEastAsia" w:hAnsiTheme="minorEastAsia" w:eastAsiaTheme="minorEastAsia"/>
          <w:szCs w:val="21"/>
        </w:rPr>
        <w:t>与</w:t>
      </w:r>
      <w:r>
        <w:rPr>
          <w:rFonts w:hint="eastAsia" w:asciiTheme="minorEastAsia" w:hAnsiTheme="minorEastAsia" w:eastAsiaTheme="minorEastAsia"/>
          <w:szCs w:val="21"/>
        </w:rPr>
        <w:t>其它</w:t>
      </w:r>
      <w:r>
        <w:rPr>
          <w:rFonts w:asciiTheme="minorEastAsia" w:hAnsiTheme="minorEastAsia" w:eastAsiaTheme="minorEastAsia"/>
          <w:szCs w:val="21"/>
        </w:rPr>
        <w:t>WEB系统</w:t>
      </w:r>
      <w:r>
        <w:rPr>
          <w:rFonts w:hint="eastAsia" w:asciiTheme="minorEastAsia" w:hAnsiTheme="minorEastAsia" w:eastAsiaTheme="minorEastAsia"/>
          <w:szCs w:val="21"/>
        </w:rPr>
        <w:t>以及各类业务数据库无缝整合：</w:t>
      </w:r>
    </w:p>
    <w:p>
      <w:pPr>
        <w:pStyle w:val="40"/>
        <w:numPr>
          <w:ilvl w:val="0"/>
          <w:numId w:val="6"/>
        </w:numPr>
        <w:spacing w:line="360" w:lineRule="auto"/>
        <w:ind w:firstLineChars="0"/>
        <w:rPr>
          <w:szCs w:val="21"/>
        </w:rPr>
      </w:pPr>
      <w:r>
        <w:rPr>
          <w:rFonts w:hint="eastAsia"/>
          <w:szCs w:val="21"/>
        </w:rPr>
        <w:t>安全性原则：对于认定的关键及敏感数据，只有经过授权的合法用户才能使用访问及修改，并具有完备的日志及审核功能。系统应该有一套完整的安全机制，保证系统能够抵抗内部和外部的黑客性质的攻击；完整的身份认证与授权，对关键用户、领导的身份确认进行数字签名，并支持对敏感数据的加密传输；用户不能够直接存取关键数据，而只能通过相关的功能模块对数据进行操作；同时建立完备的数据备份与灾难恢复机制及策略。</w:t>
      </w:r>
    </w:p>
    <w:p>
      <w:pPr>
        <w:pStyle w:val="40"/>
        <w:numPr>
          <w:ilvl w:val="0"/>
          <w:numId w:val="6"/>
        </w:numPr>
        <w:spacing w:line="360" w:lineRule="auto"/>
        <w:ind w:firstLineChars="0"/>
        <w:rPr>
          <w:szCs w:val="21"/>
        </w:rPr>
      </w:pPr>
      <w:r>
        <w:rPr>
          <w:rFonts w:hint="eastAsia"/>
          <w:szCs w:val="21"/>
        </w:rPr>
        <w:t>成熟性原则：选用经过市场考验和用户实际应用验证，在系统稳定性、运行效率和可维护性上都达到了国际先进水平的成熟操作系统平台和应用系统平台。</w:t>
      </w:r>
    </w:p>
    <w:p>
      <w:pPr>
        <w:pStyle w:val="40"/>
        <w:numPr>
          <w:ilvl w:val="0"/>
          <w:numId w:val="6"/>
        </w:numPr>
        <w:spacing w:line="360" w:lineRule="auto"/>
        <w:ind w:firstLineChars="0"/>
        <w:rPr>
          <w:szCs w:val="21"/>
        </w:rPr>
      </w:pPr>
      <w:r>
        <w:rPr>
          <w:rFonts w:hint="eastAsia"/>
          <w:szCs w:val="21"/>
        </w:rPr>
        <w:t>标准化原则：在系统平台、技术等选型时符合国际标准、工业标准、行业标准，使系统的通信环境、软件环境相互间依赖减至最小；强调各种系统之间的通信和信息交换，以信息资源共享为有效的基本出发点。</w:t>
      </w:r>
    </w:p>
    <w:p>
      <w:pPr>
        <w:pStyle w:val="40"/>
        <w:numPr>
          <w:ilvl w:val="0"/>
          <w:numId w:val="6"/>
        </w:numPr>
        <w:spacing w:line="360" w:lineRule="auto"/>
        <w:ind w:firstLineChars="0"/>
        <w:rPr>
          <w:szCs w:val="21"/>
        </w:rPr>
      </w:pPr>
      <w:r>
        <w:rPr>
          <w:rFonts w:hint="eastAsia"/>
          <w:szCs w:val="21"/>
        </w:rPr>
        <w:t>易用性原则：用户操作界面应尽可能的直观，简洁，缩略操作步骤不能太复杂，必须采用B/S结构能够使用浏览器运行</w:t>
      </w:r>
      <w:bookmarkStart w:id="97" w:name="OLE_LINK3"/>
      <w:r>
        <w:rPr>
          <w:rFonts w:hint="eastAsia"/>
          <w:szCs w:val="21"/>
        </w:rPr>
        <w:t>，浏览器必须支持IE、Firefox、Safari、Opera、Chrome等系列的多个版本</w:t>
      </w:r>
      <w:bookmarkEnd w:id="97"/>
      <w:r>
        <w:rPr>
          <w:rFonts w:hint="eastAsia"/>
          <w:szCs w:val="21"/>
        </w:rPr>
        <w:t>。</w:t>
      </w:r>
    </w:p>
    <w:p>
      <w:pPr>
        <w:pStyle w:val="40"/>
        <w:numPr>
          <w:ilvl w:val="0"/>
          <w:numId w:val="6"/>
        </w:numPr>
        <w:spacing w:line="360" w:lineRule="auto"/>
        <w:ind w:firstLineChars="0"/>
      </w:pPr>
      <w:r>
        <w:rPr>
          <w:rFonts w:hint="eastAsia"/>
          <w:szCs w:val="21"/>
        </w:rPr>
        <w:t>可维护性原则：系统应提供灵活易用的流程设计、图形化表单设计、配置管理、实时监控和详细的日志、审计功能；实现分级管理，以最少的人力资源和技术要求，实现零代码地维护和管理。</w:t>
      </w:r>
    </w:p>
    <w:p>
      <w:pPr>
        <w:pStyle w:val="3"/>
        <w:spacing w:line="360" w:lineRule="auto"/>
        <w:jc w:val="left"/>
        <w:rPr>
          <w:rFonts w:ascii="微软雅黑" w:hAnsi="微软雅黑" w:eastAsia="微软雅黑" w:cs="宋体"/>
          <w:b w:val="0"/>
          <w:bCs w:val="0"/>
          <w:color w:val="000000"/>
        </w:rPr>
      </w:pPr>
      <w:bookmarkStart w:id="98" w:name="_Toc508133981"/>
      <w:r>
        <w:rPr>
          <w:rFonts w:hint="eastAsia" w:ascii="微软雅黑" w:hAnsi="微软雅黑" w:eastAsia="微软雅黑" w:cs="宋体"/>
          <w:b w:val="0"/>
          <w:bCs w:val="0"/>
          <w:color w:val="000000"/>
        </w:rPr>
        <w:t>三、项目建设的工期</w:t>
      </w:r>
      <w:bookmarkEnd w:id="90"/>
      <w:bookmarkEnd w:id="91"/>
      <w:bookmarkEnd w:id="92"/>
      <w:bookmarkEnd w:id="93"/>
      <w:bookmarkEnd w:id="94"/>
      <w:bookmarkEnd w:id="95"/>
      <w:bookmarkEnd w:id="98"/>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从合同签订之日起</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90日历天</w:t>
      </w:r>
      <w:r>
        <w:rPr>
          <w:rFonts w:hint="eastAsia" w:cs="宋体" w:asciiTheme="minorEastAsia" w:hAnsiTheme="minorEastAsia" w:eastAsiaTheme="minorEastAsia"/>
          <w:szCs w:val="21"/>
        </w:rPr>
        <w:t>内，完成项目的调研、方案</w:t>
      </w:r>
      <w:r>
        <w:rPr>
          <w:rFonts w:hint="eastAsia" w:cs="宋体" w:asciiTheme="minorEastAsia" w:hAnsiTheme="minorEastAsia" w:eastAsiaTheme="minorEastAsia"/>
          <w:color w:val="000000"/>
          <w:szCs w:val="21"/>
        </w:rPr>
        <w:t>设计、个性化开发、调试、安装部署、培训、试运行及最终验收</w:t>
      </w:r>
      <w:r>
        <w:rPr>
          <w:rFonts w:hint="eastAsia" w:cs="宋体" w:asciiTheme="minorEastAsia" w:hAnsiTheme="minorEastAsia" w:eastAsiaTheme="minorEastAsia"/>
          <w:szCs w:val="21"/>
        </w:rPr>
        <w:t>。</w:t>
      </w:r>
    </w:p>
    <w:p>
      <w:pPr>
        <w:pStyle w:val="3"/>
        <w:spacing w:line="360" w:lineRule="auto"/>
        <w:jc w:val="left"/>
        <w:rPr>
          <w:rFonts w:ascii="微软雅黑" w:hAnsi="微软雅黑" w:eastAsia="微软雅黑" w:cs="宋体"/>
          <w:b w:val="0"/>
          <w:bCs w:val="0"/>
          <w:color w:val="000000"/>
        </w:rPr>
      </w:pPr>
      <w:bookmarkStart w:id="99" w:name="_Toc508133982"/>
      <w:r>
        <w:rPr>
          <w:rFonts w:hint="eastAsia" w:ascii="微软雅黑" w:hAnsi="微软雅黑" w:eastAsia="微软雅黑" w:cs="宋体"/>
          <w:b w:val="0"/>
          <w:bCs w:val="0"/>
          <w:color w:val="000000"/>
        </w:rPr>
        <w:t>四、技术需求</w:t>
      </w:r>
      <w:bookmarkEnd w:id="99"/>
    </w:p>
    <w:p>
      <w:pPr>
        <w:rPr>
          <w:b/>
          <w:sz w:val="28"/>
          <w:szCs w:val="28"/>
        </w:rPr>
      </w:pPr>
      <w:bookmarkStart w:id="100" w:name="_Toc365368970"/>
      <w:bookmarkStart w:id="101" w:name="_Toc502087538"/>
      <w:bookmarkStart w:id="102" w:name="_Toc365318717"/>
      <w:r>
        <w:rPr>
          <w:rFonts w:hint="eastAsia"/>
          <w:b/>
          <w:sz w:val="28"/>
          <w:szCs w:val="28"/>
        </w:rPr>
        <w:t>基本</w:t>
      </w:r>
      <w:bookmarkEnd w:id="100"/>
      <w:bookmarkEnd w:id="101"/>
      <w:bookmarkEnd w:id="102"/>
      <w:r>
        <w:rPr>
          <w:rFonts w:hint="eastAsia"/>
          <w:b/>
          <w:sz w:val="28"/>
          <w:szCs w:val="28"/>
        </w:rPr>
        <w:t>要求</w:t>
      </w:r>
    </w:p>
    <w:p>
      <w:pPr>
        <w:pStyle w:val="40"/>
        <w:numPr>
          <w:ilvl w:val="0"/>
          <w:numId w:val="7"/>
        </w:numPr>
        <w:spacing w:line="360" w:lineRule="auto"/>
        <w:ind w:firstLineChars="0"/>
        <w:rPr>
          <w:szCs w:val="21"/>
        </w:rPr>
      </w:pPr>
      <w:r>
        <w:rPr>
          <w:rFonts w:hint="eastAsia"/>
          <w:szCs w:val="21"/>
        </w:rPr>
        <w:t>系统必须采用B/S架构，在泸州兴阳投资集团有限公司指定的服务器部署应用系统，完全浏览器界面，客户端零安装，客户端通过浏览器即可方便使用，尽可能降低系统的维护和使用成本，便于系统今后的推广应用；</w:t>
      </w:r>
    </w:p>
    <w:p>
      <w:pPr>
        <w:pStyle w:val="40"/>
        <w:numPr>
          <w:ilvl w:val="0"/>
          <w:numId w:val="7"/>
        </w:numPr>
        <w:spacing w:line="360" w:lineRule="auto"/>
        <w:ind w:firstLineChars="0"/>
        <w:rPr>
          <w:szCs w:val="21"/>
        </w:rPr>
      </w:pPr>
      <w:r>
        <w:rPr>
          <w:rFonts w:hint="eastAsia"/>
          <w:szCs w:val="21"/>
        </w:rPr>
        <w:t>三层结构：要求采用开放架构及标准的 “表现层－逻辑层－数据层”三层次结构；</w:t>
      </w:r>
    </w:p>
    <w:p>
      <w:pPr>
        <w:pStyle w:val="40"/>
        <w:numPr>
          <w:ilvl w:val="0"/>
          <w:numId w:val="7"/>
        </w:numPr>
        <w:spacing w:line="360" w:lineRule="auto"/>
        <w:ind w:firstLineChars="0"/>
        <w:rPr>
          <w:szCs w:val="21"/>
        </w:rPr>
      </w:pPr>
      <w:r>
        <w:rPr>
          <w:rFonts w:hint="eastAsia"/>
          <w:szCs w:val="21"/>
        </w:rPr>
        <w:t>跨多平台：支持主流操作系统：</w:t>
      </w:r>
      <w:r>
        <w:rPr>
          <w:szCs w:val="21"/>
        </w:rPr>
        <w:t>Windows</w:t>
      </w:r>
      <w:r>
        <w:rPr>
          <w:rFonts w:hint="eastAsia"/>
          <w:szCs w:val="21"/>
        </w:rPr>
        <w:t>、</w:t>
      </w:r>
      <w:r>
        <w:rPr>
          <w:szCs w:val="21"/>
        </w:rPr>
        <w:t>L</w:t>
      </w:r>
      <w:r>
        <w:rPr>
          <w:rFonts w:hint="eastAsia"/>
          <w:szCs w:val="21"/>
        </w:rPr>
        <w:t>i</w:t>
      </w:r>
      <w:r>
        <w:rPr>
          <w:szCs w:val="21"/>
        </w:rPr>
        <w:t>n</w:t>
      </w:r>
      <w:r>
        <w:rPr>
          <w:rFonts w:hint="eastAsia"/>
          <w:szCs w:val="21"/>
        </w:rPr>
        <w:t>u</w:t>
      </w:r>
      <w:r>
        <w:rPr>
          <w:szCs w:val="21"/>
        </w:rPr>
        <w:t>x</w:t>
      </w:r>
      <w:r>
        <w:rPr>
          <w:rFonts w:hint="eastAsia"/>
          <w:szCs w:val="21"/>
        </w:rPr>
        <w:t>、Unix；</w:t>
      </w:r>
    </w:p>
    <w:p>
      <w:pPr>
        <w:pStyle w:val="40"/>
        <w:numPr>
          <w:ilvl w:val="0"/>
          <w:numId w:val="7"/>
        </w:numPr>
        <w:spacing w:line="360" w:lineRule="auto"/>
        <w:ind w:firstLineChars="0"/>
        <w:rPr>
          <w:szCs w:val="21"/>
        </w:rPr>
      </w:pPr>
      <w:r>
        <w:rPr>
          <w:rFonts w:hint="eastAsia"/>
          <w:szCs w:val="21"/>
        </w:rPr>
        <w:t>存储数据库必须为关系型数据库，支持以下两种关系型数据库：</w:t>
      </w:r>
      <w:r>
        <w:rPr>
          <w:szCs w:val="21"/>
        </w:rPr>
        <w:t>oracle 10g</w:t>
      </w:r>
      <w:r>
        <w:rPr>
          <w:rFonts w:hint="eastAsia"/>
          <w:szCs w:val="21"/>
        </w:rPr>
        <w:t>及以上版本和MS SQL Server 2008及以上版本。</w:t>
      </w:r>
    </w:p>
    <w:p>
      <w:pPr>
        <w:pStyle w:val="40"/>
        <w:numPr>
          <w:ilvl w:val="0"/>
          <w:numId w:val="7"/>
        </w:numPr>
        <w:spacing w:line="360" w:lineRule="auto"/>
        <w:ind w:firstLineChars="0"/>
        <w:rPr>
          <w:szCs w:val="21"/>
        </w:rPr>
      </w:pPr>
      <w:r>
        <w:rPr>
          <w:rFonts w:hint="eastAsia"/>
          <w:szCs w:val="21"/>
        </w:rPr>
        <w:t>数据库的集成能力：支持对关系型数据库的集成，可以与其他系统互换信息，可以提供决策数据参考，保证系统的外拓或兼容；</w:t>
      </w:r>
    </w:p>
    <w:p>
      <w:pPr>
        <w:pStyle w:val="40"/>
        <w:numPr>
          <w:ilvl w:val="0"/>
          <w:numId w:val="7"/>
        </w:numPr>
        <w:spacing w:line="360" w:lineRule="auto"/>
        <w:ind w:firstLineChars="0"/>
        <w:rPr>
          <w:color w:val="000000" w:themeColor="text1"/>
          <w:szCs w:val="21"/>
          <w14:textFill>
            <w14:solidFill>
              <w14:schemeClr w14:val="tx1"/>
            </w14:solidFill>
          </w14:textFill>
        </w:rPr>
      </w:pPr>
      <w:r>
        <w:rPr>
          <w:rFonts w:hint="eastAsia"/>
          <w:szCs w:val="21"/>
        </w:rPr>
        <w:t>应用服务：支持主流的应用服务,如Tom</w:t>
      </w:r>
      <w:r>
        <w:rPr>
          <w:rFonts w:hint="eastAsia"/>
          <w:color w:val="000000" w:themeColor="text1"/>
          <w:szCs w:val="21"/>
          <w14:textFill>
            <w14:solidFill>
              <w14:schemeClr w14:val="tx1"/>
            </w14:solidFill>
          </w14:textFill>
        </w:rPr>
        <w:t>cat/WebSphere/weblogic等；</w:t>
      </w:r>
    </w:p>
    <w:p>
      <w:pPr>
        <w:pStyle w:val="40"/>
        <w:numPr>
          <w:ilvl w:val="0"/>
          <w:numId w:val="7"/>
        </w:numPr>
        <w:spacing w:line="360" w:lineRule="auto"/>
        <w:ind w:firstLineChars="0"/>
        <w:rPr>
          <w:szCs w:val="21"/>
        </w:rPr>
      </w:pPr>
      <w:r>
        <w:rPr>
          <w:rFonts w:hint="eastAsia"/>
          <w:szCs w:val="21"/>
        </w:rPr>
        <w:t>数据接口：采用标准、开放和高效的接口与协议；跨系统平台接口数据传递采用Web service实现；支持其他多种形式的数据对接，比如XML；</w:t>
      </w:r>
    </w:p>
    <w:p>
      <w:pPr>
        <w:pStyle w:val="40"/>
        <w:numPr>
          <w:ilvl w:val="0"/>
          <w:numId w:val="7"/>
        </w:numPr>
        <w:spacing w:line="360" w:lineRule="auto"/>
        <w:ind w:firstLineChars="0"/>
        <w:rPr>
          <w:szCs w:val="21"/>
        </w:rPr>
      </w:pPr>
      <w:r>
        <w:rPr>
          <w:rFonts w:hint="eastAsia"/>
          <w:szCs w:val="21"/>
        </w:rPr>
        <w:t>多级安全机制：系统可以采用多级安全机制如服务器安全、数据库安全，每级安全要有严格的权限控制保障，必要时，可提供</w:t>
      </w:r>
      <w:r>
        <w:rPr>
          <w:szCs w:val="21"/>
        </w:rPr>
        <w:t>CA</w:t>
      </w:r>
      <w:r>
        <w:rPr>
          <w:rFonts w:hint="eastAsia"/>
          <w:szCs w:val="21"/>
        </w:rPr>
        <w:t>认证、验证码、动态密码、key等多种论证组合方式；</w:t>
      </w:r>
    </w:p>
    <w:p>
      <w:pPr>
        <w:pStyle w:val="40"/>
        <w:numPr>
          <w:ilvl w:val="0"/>
          <w:numId w:val="7"/>
        </w:numPr>
        <w:spacing w:line="360" w:lineRule="auto"/>
        <w:ind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多终端：系统须实现PC终端和移动终端登陆处理事务，若移动终端使用APP，</w:t>
      </w:r>
      <w:r>
        <w:rPr>
          <w:rFonts w:hint="eastAsia"/>
          <w:color w:val="000000" w:themeColor="text1"/>
          <w:szCs w:val="21"/>
          <w:lang w:val="en-US" w:eastAsia="zh-CN"/>
          <w14:textFill>
            <w14:solidFill>
              <w14:schemeClr w14:val="tx1"/>
            </w14:solidFill>
          </w14:textFill>
        </w:rPr>
        <w:t>须</w:t>
      </w:r>
      <w:r>
        <w:rPr>
          <w:rFonts w:hint="eastAsia"/>
          <w:color w:val="000000" w:themeColor="text1"/>
          <w:szCs w:val="21"/>
          <w14:textFill>
            <w14:solidFill>
              <w14:schemeClr w14:val="tx1"/>
            </w14:solidFill>
          </w14:textFill>
        </w:rPr>
        <w:t>支持安卓系统和IOS系统。</w:t>
      </w:r>
    </w:p>
    <w:p>
      <w:pPr>
        <w:rPr>
          <w:b/>
          <w:sz w:val="28"/>
          <w:szCs w:val="28"/>
        </w:rPr>
      </w:pPr>
      <w:bookmarkStart w:id="103" w:name="_Toc502087539"/>
      <w:bookmarkStart w:id="104" w:name="_Toc365318718"/>
      <w:bookmarkStart w:id="105" w:name="_Toc365368971"/>
      <w:r>
        <w:rPr>
          <w:rFonts w:hint="eastAsia"/>
          <w:b/>
          <w:sz w:val="28"/>
          <w:szCs w:val="28"/>
        </w:rPr>
        <w:t>系统专有技术需求</w:t>
      </w:r>
      <w:bookmarkEnd w:id="103"/>
      <w:bookmarkEnd w:id="104"/>
      <w:bookmarkEnd w:id="105"/>
    </w:p>
    <w:p>
      <w:pPr>
        <w:pStyle w:val="40"/>
        <w:numPr>
          <w:ilvl w:val="0"/>
          <w:numId w:val="8"/>
        </w:numPr>
        <w:spacing w:line="360" w:lineRule="auto"/>
        <w:ind w:firstLineChars="0"/>
        <w:rPr>
          <w:szCs w:val="21"/>
        </w:rPr>
      </w:pPr>
      <w:r>
        <w:rPr>
          <w:rFonts w:hint="eastAsia"/>
          <w:szCs w:val="21"/>
        </w:rPr>
        <w:t>在系统的配置方面，应能根据实际的需要组合出任意的业务处理流程，用这些可自定义的流程来解决所有的审批和办公业务。</w:t>
      </w:r>
    </w:p>
    <w:p>
      <w:pPr>
        <w:pStyle w:val="40"/>
        <w:numPr>
          <w:ilvl w:val="0"/>
          <w:numId w:val="8"/>
        </w:numPr>
        <w:spacing w:line="360" w:lineRule="auto"/>
        <w:ind w:firstLineChars="0"/>
        <w:rPr>
          <w:szCs w:val="21"/>
        </w:rPr>
      </w:pPr>
      <w:r>
        <w:rPr>
          <w:rFonts w:hint="eastAsia"/>
          <w:szCs w:val="21"/>
        </w:rPr>
        <w:t>系统支持流程的导入导出功能，提高系统中应用的复制性和共用性，方便不同环境系统应用的复制和迁移。</w:t>
      </w:r>
    </w:p>
    <w:p>
      <w:pPr>
        <w:pStyle w:val="40"/>
        <w:numPr>
          <w:ilvl w:val="0"/>
          <w:numId w:val="8"/>
        </w:numPr>
        <w:spacing w:line="360" w:lineRule="auto"/>
        <w:ind w:firstLineChars="0"/>
        <w:rPr>
          <w:szCs w:val="21"/>
        </w:rPr>
      </w:pPr>
      <w:r>
        <w:rPr>
          <w:rFonts w:hint="eastAsia"/>
          <w:szCs w:val="21"/>
        </w:rPr>
        <w:t>易于二次开发扩展：系统提供二次开发的接口，可以方便用户将办公系统或其他需求扩展到该系统平台上。要求提供详细开发指导文档，并可提供二次开发服务。</w:t>
      </w:r>
    </w:p>
    <w:p>
      <w:pPr>
        <w:pStyle w:val="40"/>
        <w:numPr>
          <w:ilvl w:val="0"/>
          <w:numId w:val="8"/>
        </w:numPr>
        <w:spacing w:line="360" w:lineRule="auto"/>
        <w:ind w:firstLineChars="0"/>
        <w:rPr>
          <w:szCs w:val="21"/>
        </w:rPr>
      </w:pPr>
      <w:r>
        <w:rPr>
          <w:rFonts w:hint="eastAsia"/>
          <w:szCs w:val="21"/>
        </w:rPr>
        <w:t>要求采用SOA架构软件技术，保证核心的平台软件能够与具体的业务无关，避免定制开发带来的周期长、系统不稳定、维护难等问题。</w:t>
      </w:r>
    </w:p>
    <w:p>
      <w:pPr>
        <w:pStyle w:val="40"/>
        <w:numPr>
          <w:ilvl w:val="0"/>
          <w:numId w:val="8"/>
        </w:numPr>
        <w:spacing w:line="360" w:lineRule="auto"/>
        <w:ind w:firstLineChars="0"/>
        <w:rPr>
          <w:szCs w:val="21"/>
        </w:rPr>
      </w:pPr>
      <w:r>
        <w:rPr>
          <w:rFonts w:hint="eastAsia"/>
          <w:szCs w:val="21"/>
        </w:rPr>
        <w:t>应具有统一的用户及权限管理机制，能够很方便地对系统进行全面的权限管理，避免信息的冗余，以及由于个别系统的设计不当导致的安全隐患。</w:t>
      </w:r>
    </w:p>
    <w:p>
      <w:pPr>
        <w:pStyle w:val="40"/>
        <w:numPr>
          <w:ilvl w:val="0"/>
          <w:numId w:val="8"/>
        </w:numPr>
        <w:spacing w:line="360" w:lineRule="auto"/>
        <w:ind w:firstLineChars="0"/>
        <w:rPr>
          <w:szCs w:val="21"/>
        </w:rPr>
      </w:pPr>
      <w:r>
        <w:rPr>
          <w:rFonts w:hint="eastAsia"/>
          <w:szCs w:val="21"/>
        </w:rPr>
        <w:t>提供灵活的门户自定义定制功能，根据使用者的角色（身份和权限）的不同系统呈现不同的菜单或功能，用户本人可自定义个人门户界面风格、栏目存放位置及显示方式等。</w:t>
      </w:r>
    </w:p>
    <w:p>
      <w:pPr>
        <w:pStyle w:val="40"/>
        <w:numPr>
          <w:ilvl w:val="0"/>
          <w:numId w:val="8"/>
        </w:numPr>
        <w:spacing w:line="360" w:lineRule="auto"/>
        <w:ind w:firstLineChars="0"/>
        <w:rPr>
          <w:szCs w:val="21"/>
        </w:rPr>
      </w:pPr>
      <w:r>
        <w:rPr>
          <w:rFonts w:hint="eastAsia"/>
          <w:szCs w:val="21"/>
        </w:rPr>
        <w:t>报表工具：包含系统运行过程中的业务流报表、文档查询报表、文档下载报表、文档监控报表、流程监控及效率分析类报表的生成、分析工具。</w:t>
      </w:r>
    </w:p>
    <w:p>
      <w:pPr>
        <w:pStyle w:val="40"/>
        <w:numPr>
          <w:ilvl w:val="0"/>
          <w:numId w:val="8"/>
        </w:numPr>
        <w:spacing w:line="360" w:lineRule="auto"/>
        <w:ind w:firstLineChars="0"/>
        <w:rPr>
          <w:szCs w:val="21"/>
        </w:rPr>
      </w:pPr>
      <w:r>
        <w:rPr>
          <w:rFonts w:hint="eastAsia"/>
          <w:szCs w:val="21"/>
        </w:rPr>
        <w:t>OA系统内消息通知方式：应支持OA内部消息及邮件、微信、手机短信。</w:t>
      </w:r>
    </w:p>
    <w:p>
      <w:pPr>
        <w:pStyle w:val="40"/>
        <w:numPr>
          <w:ilvl w:val="0"/>
          <w:numId w:val="8"/>
        </w:numPr>
        <w:spacing w:line="360" w:lineRule="auto"/>
        <w:ind w:firstLineChars="0"/>
        <w:rPr>
          <w:szCs w:val="21"/>
        </w:rPr>
      </w:pPr>
      <w:r>
        <w:rPr>
          <w:rFonts w:hint="eastAsia"/>
          <w:szCs w:val="21"/>
        </w:rPr>
        <w:t>规范性校验：对活动计划各项要素信息的数字型、日期型、关联项目和非空必输项目以及项目间逻辑关系如起止日期进行有效性校验，保证字段内容的规范性。</w:t>
      </w:r>
    </w:p>
    <w:p>
      <w:pPr>
        <w:pStyle w:val="40"/>
        <w:numPr>
          <w:ilvl w:val="0"/>
          <w:numId w:val="8"/>
        </w:numPr>
        <w:spacing w:line="360" w:lineRule="auto"/>
        <w:ind w:firstLineChars="0"/>
        <w:rPr>
          <w:szCs w:val="21"/>
        </w:rPr>
      </w:pPr>
      <w:r>
        <w:rPr>
          <w:rFonts w:hint="eastAsia"/>
          <w:szCs w:val="21"/>
        </w:rPr>
        <w:t>提供系统日志管理功能，系统日志管理包括日志监控、日志审计和日志统计，系统中发生的所有对数据产生变更的操作和系统本身的运行检测情况都要求记录在日志平台中，便于统计分析。</w:t>
      </w:r>
    </w:p>
    <w:p>
      <w:pPr>
        <w:pStyle w:val="3"/>
        <w:spacing w:line="360" w:lineRule="auto"/>
        <w:jc w:val="left"/>
        <w:rPr>
          <w:rFonts w:ascii="微软雅黑" w:hAnsi="微软雅黑" w:eastAsia="微软雅黑" w:cs="宋体"/>
          <w:b w:val="0"/>
          <w:bCs w:val="0"/>
          <w:color w:val="000000"/>
        </w:rPr>
      </w:pPr>
      <w:bookmarkStart w:id="106" w:name="_Toc508133983"/>
      <w:r>
        <w:rPr>
          <w:rFonts w:hint="eastAsia" w:ascii="微软雅黑" w:hAnsi="微软雅黑" w:eastAsia="微软雅黑" w:cs="宋体"/>
          <w:b w:val="0"/>
          <w:bCs w:val="0"/>
          <w:color w:val="000000"/>
        </w:rPr>
        <w:t>五、项目建设内容</w:t>
      </w:r>
      <w:bookmarkEnd w:id="106"/>
    </w:p>
    <w:tbl>
      <w:tblPr>
        <w:tblStyle w:val="23"/>
        <w:tblW w:w="9180" w:type="dxa"/>
        <w:tblInd w:w="0" w:type="dxa"/>
        <w:tblLayout w:type="fixed"/>
        <w:tblCellMar>
          <w:top w:w="0" w:type="dxa"/>
          <w:left w:w="108" w:type="dxa"/>
          <w:bottom w:w="0" w:type="dxa"/>
          <w:right w:w="108" w:type="dxa"/>
        </w:tblCellMar>
      </w:tblPr>
      <w:tblGrid>
        <w:gridCol w:w="704"/>
        <w:gridCol w:w="1672"/>
        <w:gridCol w:w="5529"/>
        <w:gridCol w:w="1275"/>
      </w:tblGrid>
      <w:tr>
        <w:tblPrEx>
          <w:tblLayout w:type="fixed"/>
          <w:tblCellMar>
            <w:top w:w="0" w:type="dxa"/>
            <w:left w:w="108" w:type="dxa"/>
            <w:bottom w:w="0" w:type="dxa"/>
            <w:right w:w="108" w:type="dxa"/>
          </w:tblCellMar>
        </w:tblPrEx>
        <w:trPr>
          <w:trHeight w:val="425" w:hRule="atLeast"/>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编号</w:t>
            </w:r>
          </w:p>
        </w:tc>
        <w:tc>
          <w:tcPr>
            <w:tcW w:w="167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功能名称</w:t>
            </w:r>
          </w:p>
        </w:tc>
        <w:tc>
          <w:tcPr>
            <w:tcW w:w="5529"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功能要求</w:t>
            </w:r>
          </w:p>
        </w:tc>
        <w:tc>
          <w:tcPr>
            <w:tcW w:w="1275"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数量</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1</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基础平台</w:t>
            </w:r>
          </w:p>
        </w:tc>
        <w:tc>
          <w:tcPr>
            <w:tcW w:w="5529" w:type="dxa"/>
            <w:tcBorders>
              <w:top w:val="single" w:color="auto" w:sz="4" w:space="0"/>
              <w:left w:val="single" w:color="auto" w:sz="4" w:space="0"/>
              <w:bottom w:val="single" w:color="auto" w:sz="4" w:space="0"/>
              <w:right w:val="single" w:color="auto" w:sz="4" w:space="0"/>
            </w:tcBorders>
          </w:tcPr>
          <w:p>
            <w:pPr>
              <w:spacing w:line="360" w:lineRule="auto"/>
              <w:jc w:val="left"/>
              <w:rPr>
                <w:rFonts w:ascii="微软雅黑" w:hAnsi="微软雅黑" w:cs="宋体"/>
                <w:sz w:val="18"/>
                <w:szCs w:val="18"/>
              </w:rPr>
            </w:pPr>
            <w:r>
              <w:rPr>
                <w:rFonts w:hint="eastAsia" w:ascii="微软雅黑" w:hAnsi="微软雅黑" w:cs="宋体"/>
                <w:sz w:val="18"/>
                <w:szCs w:val="18"/>
              </w:rPr>
              <w:t>建立集团企业组织管理</w:t>
            </w:r>
            <w:r>
              <w:rPr>
                <w:rFonts w:hint="eastAsia" w:ascii="微软雅黑" w:hAnsi="微软雅黑" w:cs="Microsoft Yi Baiti"/>
                <w:sz w:val="18"/>
                <w:szCs w:val="18"/>
              </w:rPr>
              <w:t>，</w:t>
            </w:r>
            <w:r>
              <w:rPr>
                <w:rFonts w:hint="eastAsia" w:ascii="微软雅黑" w:hAnsi="微软雅黑" w:cs="宋体"/>
                <w:sz w:val="18"/>
                <w:szCs w:val="18"/>
              </w:rPr>
              <w:t>多维度的集团组织结构建立</w:t>
            </w:r>
            <w:r>
              <w:rPr>
                <w:rFonts w:hint="eastAsia" w:ascii="微软雅黑" w:hAnsi="微软雅黑" w:cs="Microsoft Yi Baiti"/>
                <w:sz w:val="18"/>
                <w:szCs w:val="18"/>
              </w:rPr>
              <w:t>，</w:t>
            </w:r>
            <w:r>
              <w:rPr>
                <w:rFonts w:hint="eastAsia" w:ascii="微软雅黑" w:hAnsi="微软雅黑" w:cs="宋体"/>
                <w:sz w:val="18"/>
                <w:szCs w:val="18"/>
              </w:rPr>
              <w:t>系统对全集团及下属分子公司的权限分配和管理；搭建组织架构、集团公司体系、部门结构管理等。</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2</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门户管理</w:t>
            </w:r>
          </w:p>
        </w:tc>
        <w:tc>
          <w:tcPr>
            <w:tcW w:w="5529" w:type="dxa"/>
            <w:tcBorders>
              <w:top w:val="single" w:color="auto" w:sz="4" w:space="0"/>
              <w:left w:val="single" w:color="auto" w:sz="4" w:space="0"/>
              <w:bottom w:val="single" w:color="auto" w:sz="4" w:space="0"/>
              <w:right w:val="single" w:color="auto" w:sz="4" w:space="0"/>
            </w:tcBorders>
          </w:tcPr>
          <w:p>
            <w:pPr>
              <w:spacing w:line="360" w:lineRule="auto"/>
              <w:jc w:val="left"/>
              <w:rPr>
                <w:rFonts w:ascii="微软雅黑" w:hAnsi="微软雅黑" w:cs="宋体"/>
                <w:sz w:val="18"/>
                <w:szCs w:val="18"/>
              </w:rPr>
            </w:pPr>
            <w:r>
              <w:rPr>
                <w:rFonts w:hint="eastAsia" w:ascii="微软雅黑" w:hAnsi="微软雅黑" w:cs="宋体"/>
                <w:sz w:val="18"/>
                <w:szCs w:val="18"/>
              </w:rPr>
              <w:t>集团权限管控体系下多元化的信息与应用的展示与发布</w:t>
            </w:r>
            <w:r>
              <w:rPr>
                <w:rFonts w:hint="eastAsia" w:ascii="微软雅黑" w:hAnsi="微软雅黑" w:cs="Microsoft Yi Baiti"/>
                <w:sz w:val="18"/>
                <w:szCs w:val="18"/>
              </w:rPr>
              <w:t>，集团门户、分子</w:t>
            </w:r>
            <w:r>
              <w:rPr>
                <w:rFonts w:hint="eastAsia" w:ascii="微软雅黑" w:hAnsi="微软雅黑" w:cs="宋体"/>
                <w:sz w:val="18"/>
                <w:szCs w:val="18"/>
              </w:rPr>
              <w:t>公司门户</w:t>
            </w:r>
            <w:r>
              <w:rPr>
                <w:rFonts w:hint="eastAsia" w:ascii="微软雅黑" w:hAnsi="微软雅黑" w:cs="Microsoft Yi Baiti"/>
                <w:sz w:val="18"/>
                <w:szCs w:val="18"/>
              </w:rPr>
              <w:t>、</w:t>
            </w:r>
            <w:r>
              <w:rPr>
                <w:rFonts w:hint="eastAsia" w:ascii="微软雅黑" w:hAnsi="微软雅黑" w:cs="宋体"/>
                <w:sz w:val="18"/>
                <w:szCs w:val="18"/>
              </w:rPr>
              <w:t>专题门户</w:t>
            </w:r>
            <w:r>
              <w:rPr>
                <w:rFonts w:hint="eastAsia" w:ascii="微软雅黑" w:hAnsi="微软雅黑" w:cs="Microsoft Yi Baiti"/>
                <w:sz w:val="18"/>
                <w:szCs w:val="18"/>
              </w:rPr>
              <w:t>、</w:t>
            </w:r>
            <w:r>
              <w:rPr>
                <w:rFonts w:hint="eastAsia" w:ascii="微软雅黑" w:hAnsi="微软雅黑" w:cs="宋体"/>
                <w:sz w:val="18"/>
                <w:szCs w:val="18"/>
              </w:rPr>
              <w:t>管理者门户</w:t>
            </w:r>
            <w:r>
              <w:rPr>
                <w:rFonts w:hint="eastAsia" w:ascii="微软雅黑" w:hAnsi="微软雅黑" w:cs="Microsoft Yi Baiti"/>
                <w:sz w:val="18"/>
                <w:szCs w:val="18"/>
              </w:rPr>
              <w:t>、</w:t>
            </w:r>
            <w:r>
              <w:rPr>
                <w:rFonts w:hint="eastAsia" w:ascii="微软雅黑" w:hAnsi="微软雅黑" w:cs="宋体"/>
                <w:sz w:val="18"/>
                <w:szCs w:val="18"/>
              </w:rPr>
              <w:t>制度与文化门户、个人门户等。</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3</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流程管理</w:t>
            </w:r>
          </w:p>
        </w:tc>
        <w:tc>
          <w:tcPr>
            <w:tcW w:w="5529" w:type="dxa"/>
            <w:tcBorders>
              <w:top w:val="single" w:color="auto" w:sz="4" w:space="0"/>
              <w:left w:val="single" w:color="auto" w:sz="4" w:space="0"/>
              <w:bottom w:val="single" w:color="auto" w:sz="4" w:space="0"/>
              <w:right w:val="single" w:color="auto" w:sz="4" w:space="0"/>
            </w:tcBorders>
          </w:tcPr>
          <w:p>
            <w:pPr>
              <w:spacing w:line="360" w:lineRule="auto"/>
              <w:jc w:val="left"/>
              <w:rPr>
                <w:rFonts w:ascii="微软雅黑" w:hAnsi="微软雅黑" w:cs="宋体"/>
                <w:sz w:val="18"/>
                <w:szCs w:val="18"/>
              </w:rPr>
            </w:pPr>
            <w:r>
              <w:rPr>
                <w:rFonts w:hint="eastAsia" w:ascii="微软雅黑" w:hAnsi="微软雅黑" w:cs="宋体"/>
                <w:sz w:val="18"/>
                <w:szCs w:val="18"/>
              </w:rPr>
              <w:t>建立与规范集团及分子公司现有的流程管理体系</w:t>
            </w:r>
            <w:r>
              <w:rPr>
                <w:rFonts w:hint="eastAsia" w:ascii="微软雅黑" w:hAnsi="微软雅黑" w:cs="Microsoft Yi Baiti"/>
                <w:sz w:val="18"/>
                <w:szCs w:val="18"/>
              </w:rPr>
              <w:t>，</w:t>
            </w:r>
            <w:r>
              <w:rPr>
                <w:rFonts w:hint="eastAsia" w:ascii="微软雅黑" w:hAnsi="微软雅黑" w:cs="宋体"/>
                <w:sz w:val="18"/>
                <w:szCs w:val="18"/>
              </w:rPr>
              <w:t>建立一个流程执行与分析改善的持续管理流程的提升体系；实现从分子公司及集团的线上审批、文件传阅、任务下达、任务考核汇总和统计、公文审批、公文发布、检查督察、公车使用审批、差旅管理、采购申请、合同审批、人员入职、员工请假、员工异动审批等。</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4</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知识管理</w:t>
            </w:r>
          </w:p>
        </w:tc>
        <w:tc>
          <w:tcPr>
            <w:tcW w:w="5529" w:type="dxa"/>
            <w:tcBorders>
              <w:top w:val="single" w:color="auto" w:sz="4" w:space="0"/>
              <w:left w:val="single" w:color="auto" w:sz="4" w:space="0"/>
              <w:bottom w:val="single" w:color="auto" w:sz="4" w:space="0"/>
              <w:right w:val="single" w:color="auto" w:sz="4" w:space="0"/>
            </w:tcBorders>
          </w:tcPr>
          <w:p>
            <w:pPr>
              <w:spacing w:line="360" w:lineRule="auto"/>
              <w:jc w:val="left"/>
              <w:rPr>
                <w:rFonts w:ascii="微软雅黑" w:hAnsi="微软雅黑" w:cs="宋体"/>
                <w:sz w:val="18"/>
                <w:szCs w:val="18"/>
              </w:rPr>
            </w:pPr>
            <w:r>
              <w:rPr>
                <w:rFonts w:hint="eastAsia" w:ascii="微软雅黑" w:hAnsi="微软雅黑" w:cs="宋体"/>
                <w:sz w:val="18"/>
                <w:szCs w:val="18"/>
              </w:rPr>
              <w:t>建立知识的积累</w:t>
            </w:r>
            <w:r>
              <w:rPr>
                <w:rFonts w:hint="eastAsia" w:ascii="微软雅黑" w:hAnsi="微软雅黑" w:cs="Microsoft Yi Baiti"/>
                <w:sz w:val="18"/>
                <w:szCs w:val="18"/>
              </w:rPr>
              <w:t>、</w:t>
            </w:r>
            <w:r>
              <w:rPr>
                <w:rFonts w:hint="eastAsia" w:ascii="微软雅黑" w:hAnsi="微软雅黑" w:cs="宋体"/>
                <w:sz w:val="18"/>
                <w:szCs w:val="18"/>
              </w:rPr>
              <w:t>分享</w:t>
            </w:r>
            <w:r>
              <w:rPr>
                <w:rFonts w:hint="eastAsia" w:ascii="微软雅黑" w:hAnsi="微软雅黑" w:cs="Microsoft Yi Baiti"/>
                <w:sz w:val="18"/>
                <w:szCs w:val="18"/>
              </w:rPr>
              <w:t>、</w:t>
            </w:r>
            <w:r>
              <w:rPr>
                <w:rFonts w:hint="eastAsia" w:ascii="微软雅黑" w:hAnsi="微软雅黑" w:cs="宋体"/>
                <w:sz w:val="18"/>
                <w:szCs w:val="18"/>
              </w:rPr>
              <w:t>利用、创新的知识提升体系，实现通知公告发布、知识文档管理。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5</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公文管理</w:t>
            </w:r>
          </w:p>
        </w:tc>
        <w:tc>
          <w:tcPr>
            <w:tcW w:w="5529" w:type="dxa"/>
            <w:tcBorders>
              <w:top w:val="single" w:color="auto" w:sz="4" w:space="0"/>
              <w:left w:val="single" w:color="auto" w:sz="4" w:space="0"/>
              <w:bottom w:val="single" w:color="auto" w:sz="4" w:space="0"/>
              <w:right w:val="single" w:color="auto" w:sz="4" w:space="0"/>
            </w:tcBorders>
          </w:tcPr>
          <w:p>
            <w:pPr>
              <w:spacing w:line="360" w:lineRule="auto"/>
              <w:jc w:val="left"/>
              <w:rPr>
                <w:rFonts w:ascii="微软雅黑" w:hAnsi="微软雅黑" w:cs="宋体"/>
                <w:sz w:val="18"/>
                <w:szCs w:val="18"/>
              </w:rPr>
            </w:pPr>
            <w:r>
              <w:rPr>
                <w:rFonts w:hint="eastAsia" w:ascii="微软雅黑" w:hAnsi="微软雅黑" w:cs="宋体"/>
                <w:sz w:val="18"/>
                <w:szCs w:val="18"/>
              </w:rPr>
              <w:t>实现集团内部收发文管理、自动公文存档、公文检索等全套公文管理功能。</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ascii="微软雅黑" w:hAnsi="微软雅黑" w:cs="宋体"/>
                <w:sz w:val="18"/>
                <w:szCs w:val="18"/>
              </w:rPr>
              <w:t>6</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综合办公</w:t>
            </w:r>
          </w:p>
        </w:tc>
        <w:tc>
          <w:tcPr>
            <w:tcW w:w="5529" w:type="dxa"/>
            <w:tcBorders>
              <w:top w:val="single" w:color="auto" w:sz="4" w:space="0"/>
              <w:left w:val="single" w:color="auto" w:sz="4" w:space="0"/>
              <w:bottom w:val="single" w:color="auto" w:sz="4" w:space="0"/>
              <w:right w:val="single" w:color="auto" w:sz="4" w:space="0"/>
            </w:tcBorders>
          </w:tcPr>
          <w:p>
            <w:pPr>
              <w:spacing w:line="360" w:lineRule="auto"/>
              <w:jc w:val="left"/>
              <w:rPr>
                <w:rFonts w:ascii="微软雅黑" w:hAnsi="微软雅黑" w:cs="宋体"/>
                <w:sz w:val="18"/>
                <w:szCs w:val="18"/>
              </w:rPr>
            </w:pPr>
            <w:r>
              <w:rPr>
                <w:rFonts w:hint="eastAsia" w:ascii="微软雅黑" w:hAnsi="微软雅黑" w:cs="宋体"/>
                <w:sz w:val="18"/>
                <w:szCs w:val="18"/>
              </w:rPr>
              <w:t>即时通讯、会议管理、日程管理、车辆管理、邮件管理、通讯录、网上调查、交流</w:t>
            </w:r>
            <w:r>
              <w:rPr>
                <w:rFonts w:hint="eastAsia" w:ascii="微软雅黑" w:hAnsi="微软雅黑"/>
                <w:sz w:val="18"/>
                <w:szCs w:val="18"/>
              </w:rPr>
              <w:t>协作区等。</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ascii="微软雅黑" w:hAnsi="微软雅黑" w:cs="宋体"/>
                <w:sz w:val="18"/>
                <w:szCs w:val="18"/>
              </w:rPr>
              <w:t>7</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移动</w:t>
            </w:r>
            <w:r>
              <w:rPr>
                <w:rFonts w:hint="eastAsia" w:ascii="微软雅黑" w:hAnsi="微软雅黑" w:cs="宋体"/>
                <w:sz w:val="18"/>
                <w:szCs w:val="18"/>
                <w:lang w:val="en-US" w:eastAsia="zh-CN"/>
              </w:rPr>
              <w:t>终</w:t>
            </w:r>
            <w:r>
              <w:rPr>
                <w:rFonts w:hint="eastAsia" w:ascii="微软雅黑" w:hAnsi="微软雅黑" w:cs="宋体"/>
                <w:sz w:val="18"/>
                <w:szCs w:val="18"/>
              </w:rPr>
              <w:t>端办公</w:t>
            </w:r>
          </w:p>
        </w:tc>
        <w:tc>
          <w:tcPr>
            <w:tcW w:w="5529" w:type="dxa"/>
            <w:tcBorders>
              <w:top w:val="single" w:color="auto" w:sz="4" w:space="0"/>
              <w:left w:val="single" w:color="auto" w:sz="4" w:space="0"/>
              <w:bottom w:val="single" w:color="auto" w:sz="4" w:space="0"/>
              <w:right w:val="single" w:color="auto" w:sz="4" w:space="0"/>
            </w:tcBorders>
          </w:tcPr>
          <w:p>
            <w:pPr>
              <w:spacing w:line="360" w:lineRule="auto"/>
              <w:rPr>
                <w:rFonts w:ascii="微软雅黑" w:hAnsi="微软雅黑" w:cs="宋体"/>
                <w:sz w:val="18"/>
                <w:szCs w:val="18"/>
              </w:rPr>
            </w:pPr>
            <w:r>
              <w:rPr>
                <w:rFonts w:hint="eastAsia" w:ascii="微软雅黑" w:hAnsi="微软雅黑" w:cs="宋体"/>
                <w:sz w:val="18"/>
                <w:szCs w:val="18"/>
              </w:rPr>
              <w:t>实现OA与微信企业号的功能对接，实现在移动终端的微信</w:t>
            </w:r>
            <w:r>
              <w:rPr>
                <w:rFonts w:hint="eastAsia" w:ascii="微软雅黑" w:hAnsi="微软雅黑" w:cs="宋体"/>
                <w:color w:val="FF0000"/>
                <w:sz w:val="18"/>
                <w:szCs w:val="18"/>
                <w:lang w:val="en-US" w:eastAsia="zh-CN"/>
              </w:rPr>
              <w:t>或专用APP</w:t>
            </w:r>
            <w:r>
              <w:rPr>
                <w:rFonts w:hint="eastAsia" w:ascii="微软雅黑" w:hAnsi="微软雅黑" w:cs="宋体"/>
                <w:sz w:val="18"/>
                <w:szCs w:val="18"/>
              </w:rPr>
              <w:t>上进行移动办公应用，为企业提供灵活</w:t>
            </w:r>
            <w:r>
              <w:rPr>
                <w:rFonts w:hint="eastAsia" w:ascii="微软雅黑" w:hAnsi="微软雅黑" w:cs="Microsoft Yi Baiti"/>
                <w:sz w:val="18"/>
                <w:szCs w:val="18"/>
              </w:rPr>
              <w:t>、</w:t>
            </w:r>
            <w:r>
              <w:rPr>
                <w:rFonts w:hint="eastAsia" w:ascii="微软雅黑" w:hAnsi="微软雅黑" w:cs="宋体"/>
                <w:sz w:val="18"/>
                <w:szCs w:val="18"/>
              </w:rPr>
              <w:t>实时互联的工作处理方式</w:t>
            </w:r>
            <w:r>
              <w:rPr>
                <w:rFonts w:hint="eastAsia" w:ascii="微软雅黑" w:hAnsi="微软雅黑" w:cs="Microsoft Yi Baiti"/>
                <w:sz w:val="18"/>
                <w:szCs w:val="18"/>
              </w:rPr>
              <w:t>，</w:t>
            </w:r>
            <w:r>
              <w:rPr>
                <w:rFonts w:hint="eastAsia" w:ascii="微软雅黑" w:hAnsi="微软雅黑" w:cs="宋体"/>
                <w:sz w:val="18"/>
                <w:szCs w:val="18"/>
              </w:rPr>
              <w:t>打破时间与空间的限制</w:t>
            </w:r>
            <w:r>
              <w:rPr>
                <w:rFonts w:hint="eastAsia" w:ascii="微软雅黑" w:hAnsi="微软雅黑" w:cs="Microsoft Yi Baiti"/>
                <w:sz w:val="18"/>
                <w:szCs w:val="18"/>
              </w:rPr>
              <w:t>，</w:t>
            </w:r>
            <w:r>
              <w:rPr>
                <w:rFonts w:hint="eastAsia" w:ascii="微软雅黑" w:hAnsi="微软雅黑" w:cs="宋体"/>
                <w:sz w:val="18"/>
                <w:szCs w:val="18"/>
              </w:rPr>
              <w:t>快速实现工作的实时处理。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8</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合同管理</w:t>
            </w:r>
          </w:p>
        </w:tc>
        <w:tc>
          <w:tcPr>
            <w:tcW w:w="5529" w:type="dxa"/>
            <w:tcBorders>
              <w:top w:val="single" w:color="auto" w:sz="4" w:space="0"/>
              <w:left w:val="single" w:color="auto" w:sz="4" w:space="0"/>
              <w:bottom w:val="single" w:color="auto" w:sz="4" w:space="0"/>
              <w:right w:val="single" w:color="auto" w:sz="4" w:space="0"/>
            </w:tcBorders>
          </w:tcPr>
          <w:p>
            <w:pPr>
              <w:spacing w:line="360" w:lineRule="auto"/>
              <w:rPr>
                <w:rFonts w:ascii="微软雅黑" w:hAnsi="微软雅黑" w:cs="宋体"/>
                <w:sz w:val="18"/>
                <w:szCs w:val="18"/>
              </w:rPr>
            </w:pPr>
            <w:r>
              <w:rPr>
                <w:rFonts w:hint="eastAsia" w:ascii="微软雅黑" w:hAnsi="微软雅黑" w:cs="宋体"/>
                <w:sz w:val="18"/>
                <w:szCs w:val="18"/>
              </w:rPr>
              <w:t>建立从合同起草、审批、执行、统计、台账管理的合同全生命周期管理。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hint="eastAsia" w:ascii="微软雅黑" w:hAnsi="微软雅黑" w:eastAsia="宋体" w:cs="宋体"/>
                <w:sz w:val="18"/>
                <w:szCs w:val="18"/>
                <w:lang w:val="en-US" w:eastAsia="zh-CN"/>
              </w:rPr>
            </w:pPr>
            <w:r>
              <w:rPr>
                <w:rFonts w:hint="eastAsia" w:ascii="微软雅黑" w:hAnsi="微软雅黑" w:cs="宋体"/>
                <w:sz w:val="18"/>
                <w:szCs w:val="18"/>
                <w:lang w:val="en-US" w:eastAsia="zh-CN"/>
              </w:rPr>
              <w:t>9</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宋体" w:cs="宋体"/>
                <w:color w:val="FF0000"/>
                <w:sz w:val="18"/>
                <w:szCs w:val="18"/>
                <w:lang w:val="en-US" w:eastAsia="zh-CN"/>
              </w:rPr>
            </w:pPr>
            <w:r>
              <w:rPr>
                <w:rFonts w:hint="eastAsia" w:ascii="微软雅黑" w:hAnsi="微软雅黑" w:cs="宋体"/>
                <w:color w:val="FF0000"/>
                <w:sz w:val="18"/>
                <w:szCs w:val="18"/>
                <w:lang w:val="en-US" w:eastAsia="zh-CN"/>
              </w:rPr>
              <w:t>事务处理管理</w:t>
            </w:r>
          </w:p>
        </w:tc>
        <w:tc>
          <w:tcPr>
            <w:tcW w:w="5529"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cs="宋体"/>
                <w:sz w:val="18"/>
                <w:szCs w:val="18"/>
              </w:rPr>
            </w:pPr>
            <w:r>
              <w:rPr>
                <w:rFonts w:hint="eastAsia" w:ascii="微软雅黑" w:hAnsi="微软雅黑" w:cs="宋体"/>
                <w:sz w:val="18"/>
                <w:szCs w:val="18"/>
              </w:rPr>
              <w:t>实现事件分类处理审批流程。审批结束后，将审批的处理事件自动分配给经办部门或经办人进行处理，并实现系统督查督办，事件处理过程中自动将事件相关数据和审签数据写入或更新到事件处理台账中，生成事件处理笺打印归档。</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宋体" w:cs="宋体"/>
                <w:sz w:val="18"/>
                <w:szCs w:val="18"/>
                <w:lang w:val="en-US" w:eastAsia="zh-CN"/>
              </w:rPr>
            </w:pPr>
            <w:r>
              <w:rPr>
                <w:rFonts w:hint="eastAsia" w:ascii="微软雅黑" w:hAnsi="微软雅黑" w:cs="宋体"/>
                <w:sz w:val="18"/>
                <w:szCs w:val="18"/>
                <w:lang w:val="en-US" w:eastAsia="zh-CN"/>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hint="eastAsia" w:ascii="微软雅黑" w:hAnsi="微软雅黑" w:cs="宋体"/>
                <w:sz w:val="18"/>
                <w:szCs w:val="18"/>
                <w:lang w:val="en-US" w:eastAsia="zh-CN"/>
              </w:rPr>
            </w:pPr>
            <w:r>
              <w:rPr>
                <w:rFonts w:hint="eastAsia" w:ascii="微软雅黑" w:hAnsi="微软雅黑" w:cs="宋体"/>
                <w:sz w:val="18"/>
                <w:szCs w:val="18"/>
                <w:lang w:val="en-US" w:eastAsia="zh-CN"/>
              </w:rPr>
              <w:t>10</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cs="宋体"/>
                <w:color w:val="FF0000"/>
                <w:sz w:val="18"/>
                <w:szCs w:val="18"/>
                <w:lang w:val="en-US" w:eastAsia="zh-CN"/>
              </w:rPr>
            </w:pPr>
            <w:r>
              <w:rPr>
                <w:rFonts w:hint="eastAsia" w:ascii="微软雅黑" w:hAnsi="微软雅黑" w:cs="宋体"/>
                <w:color w:val="FF0000"/>
                <w:sz w:val="18"/>
                <w:szCs w:val="18"/>
                <w:lang w:val="en-US" w:eastAsia="zh-CN"/>
              </w:rPr>
              <w:t>采购招标管理</w:t>
            </w:r>
          </w:p>
        </w:tc>
        <w:tc>
          <w:tcPr>
            <w:tcW w:w="5529"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cs="宋体"/>
                <w:sz w:val="18"/>
                <w:szCs w:val="18"/>
              </w:rPr>
            </w:pPr>
            <w:r>
              <w:rPr>
                <w:rFonts w:hint="eastAsia" w:ascii="微软雅黑" w:hAnsi="微软雅黑" w:cs="宋体"/>
                <w:sz w:val="18"/>
                <w:szCs w:val="18"/>
              </w:rPr>
              <w:t>实现采购招标申请审批、采购文件和招标文件审查流程。自动将采购招标数据写入或更新到采购招标台账中。</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cs="宋体"/>
                <w:sz w:val="18"/>
                <w:szCs w:val="18"/>
                <w:lang w:val="en-US" w:eastAsia="zh-CN"/>
              </w:rPr>
            </w:pPr>
            <w:r>
              <w:rPr>
                <w:rFonts w:hint="eastAsia" w:ascii="微软雅黑" w:hAnsi="微软雅黑" w:cs="宋体"/>
                <w:sz w:val="18"/>
                <w:szCs w:val="18"/>
                <w:lang w:val="en-US" w:eastAsia="zh-CN"/>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hint="eastAsia" w:ascii="微软雅黑" w:hAnsi="微软雅黑" w:eastAsia="宋体" w:cs="宋体"/>
                <w:sz w:val="18"/>
                <w:szCs w:val="18"/>
                <w:lang w:eastAsia="zh-CN"/>
              </w:rPr>
            </w:pPr>
            <w:r>
              <w:rPr>
                <w:rFonts w:hint="eastAsia" w:ascii="微软雅黑" w:hAnsi="微软雅黑" w:cs="宋体"/>
                <w:sz w:val="18"/>
                <w:szCs w:val="18"/>
                <w:lang w:val="en-US" w:eastAsia="zh-CN"/>
              </w:rPr>
              <w:t>11</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cs="宋体"/>
                <w:sz w:val="18"/>
                <w:szCs w:val="18"/>
              </w:rPr>
            </w:pPr>
            <w:r>
              <w:rPr>
                <w:rFonts w:hint="eastAsia" w:ascii="微软雅黑" w:hAnsi="微软雅黑" w:cs="宋体"/>
                <w:sz w:val="18"/>
                <w:szCs w:val="18"/>
              </w:rPr>
              <w:t>国有资产管理</w:t>
            </w:r>
          </w:p>
        </w:tc>
        <w:tc>
          <w:tcPr>
            <w:tcW w:w="5529"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cs="宋体"/>
                <w:sz w:val="18"/>
                <w:szCs w:val="18"/>
              </w:rPr>
            </w:pPr>
            <w:r>
              <w:rPr>
                <w:rFonts w:hint="eastAsia" w:ascii="微软雅黑" w:hAnsi="微软雅黑" w:cs="宋体"/>
                <w:sz w:val="18"/>
                <w:szCs w:val="18"/>
              </w:rPr>
              <w:t>系统实现对国有资产的全生命周期管理，实现资产各项信息属性的状态记录、购入、变更申请、审批、出租、融资、抵押、维修、价值、折旧、历史资料保存等，支持手机端的使用。</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1</w:t>
            </w:r>
            <w:r>
              <w:rPr>
                <w:rFonts w:hint="eastAsia" w:ascii="微软雅黑" w:hAnsi="微软雅黑" w:cs="宋体"/>
                <w:sz w:val="18"/>
                <w:szCs w:val="18"/>
                <w:lang w:val="en-US" w:eastAsia="zh-CN"/>
              </w:rPr>
              <w:t>2</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办公资产管理</w:t>
            </w:r>
          </w:p>
        </w:tc>
        <w:tc>
          <w:tcPr>
            <w:tcW w:w="5529" w:type="dxa"/>
            <w:tcBorders>
              <w:top w:val="single" w:color="auto" w:sz="4" w:space="0"/>
              <w:left w:val="single" w:color="auto" w:sz="4" w:space="0"/>
              <w:bottom w:val="single" w:color="auto" w:sz="4" w:space="0"/>
              <w:right w:val="single" w:color="auto" w:sz="4" w:space="0"/>
            </w:tcBorders>
          </w:tcPr>
          <w:p>
            <w:pPr>
              <w:spacing w:line="360" w:lineRule="auto"/>
              <w:rPr>
                <w:rFonts w:ascii="微软雅黑" w:hAnsi="微软雅黑" w:cs="宋体"/>
                <w:sz w:val="18"/>
                <w:szCs w:val="18"/>
              </w:rPr>
            </w:pPr>
            <w:r>
              <w:rPr>
                <w:rFonts w:hint="eastAsia" w:ascii="微软雅黑" w:hAnsi="微软雅黑" w:cs="宋体"/>
                <w:sz w:val="18"/>
                <w:szCs w:val="18"/>
              </w:rPr>
              <w:t>对办公用品进行入库、领用、调拨、借用等全生命周期管理。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1</w:t>
            </w:r>
            <w:r>
              <w:rPr>
                <w:rFonts w:hint="eastAsia" w:ascii="微软雅黑" w:hAnsi="微软雅黑" w:cs="宋体"/>
                <w:sz w:val="18"/>
                <w:szCs w:val="18"/>
                <w:lang w:val="en-US" w:eastAsia="zh-CN"/>
              </w:rPr>
              <w:t>3</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短信功能</w:t>
            </w:r>
          </w:p>
        </w:tc>
        <w:tc>
          <w:tcPr>
            <w:tcW w:w="5529" w:type="dxa"/>
            <w:tcBorders>
              <w:top w:val="single" w:color="auto" w:sz="4" w:space="0"/>
              <w:left w:val="single" w:color="auto" w:sz="4" w:space="0"/>
              <w:bottom w:val="single" w:color="auto" w:sz="4" w:space="0"/>
              <w:right w:val="single" w:color="auto" w:sz="4" w:space="0"/>
            </w:tcBorders>
          </w:tcPr>
          <w:p>
            <w:pPr>
              <w:spacing w:line="360" w:lineRule="auto"/>
              <w:rPr>
                <w:rFonts w:ascii="微软雅黑" w:hAnsi="微软雅黑" w:cs="宋体"/>
                <w:sz w:val="18"/>
                <w:szCs w:val="18"/>
              </w:rPr>
            </w:pPr>
            <w:r>
              <w:rPr>
                <w:rFonts w:hint="eastAsia" w:ascii="微软雅黑" w:hAnsi="微软雅黑" w:cs="宋体"/>
                <w:sz w:val="18"/>
                <w:szCs w:val="18"/>
              </w:rPr>
              <w:t>能实现软件平台对外发送定制短信或者通过流程、邮件、车辆管理、会议管理、即时通讯等模块触发短信。</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1</w:t>
            </w:r>
            <w:r>
              <w:rPr>
                <w:rFonts w:hint="eastAsia" w:ascii="微软雅黑" w:hAnsi="微软雅黑" w:cs="宋体"/>
                <w:sz w:val="18"/>
                <w:szCs w:val="18"/>
                <w:lang w:val="en-US" w:eastAsia="zh-CN"/>
              </w:rPr>
              <w:t>4</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手写批注、全</w:t>
            </w:r>
            <w:r>
              <w:rPr>
                <w:rFonts w:ascii="微软雅黑" w:hAnsi="微软雅黑" w:cs="宋体"/>
                <w:sz w:val="18"/>
                <w:szCs w:val="18"/>
              </w:rPr>
              <w:t>文</w:t>
            </w:r>
            <w:r>
              <w:rPr>
                <w:rFonts w:hint="eastAsia" w:ascii="微软雅黑" w:hAnsi="微软雅黑" w:cs="宋体"/>
                <w:sz w:val="18"/>
                <w:szCs w:val="18"/>
              </w:rPr>
              <w:t>批注</w:t>
            </w:r>
          </w:p>
        </w:tc>
        <w:tc>
          <w:tcPr>
            <w:tcW w:w="55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微软雅黑" w:hAnsi="微软雅黑" w:cs="宋体"/>
                <w:sz w:val="18"/>
                <w:szCs w:val="18"/>
              </w:rPr>
            </w:pPr>
            <w:r>
              <w:rPr>
                <w:rFonts w:hint="eastAsia" w:ascii="微软雅黑" w:hAnsi="微软雅黑" w:cs="宋体"/>
                <w:sz w:val="18"/>
                <w:szCs w:val="18"/>
              </w:rPr>
              <w:t>支持office、WPS、PDF上全文批注，且支持在表单上使用手写批注。</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1</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1</w:t>
            </w:r>
            <w:r>
              <w:rPr>
                <w:rFonts w:hint="eastAsia" w:ascii="微软雅黑" w:hAnsi="微软雅黑" w:cs="宋体"/>
                <w:sz w:val="18"/>
                <w:szCs w:val="18"/>
                <w:lang w:val="en-US" w:eastAsia="zh-CN"/>
              </w:rPr>
              <w:t>5</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ascii="微软雅黑" w:hAnsi="微软雅黑" w:cs="宋体"/>
                <w:sz w:val="18"/>
                <w:szCs w:val="18"/>
              </w:rPr>
              <w:t>电子签章</w:t>
            </w:r>
          </w:p>
        </w:tc>
        <w:tc>
          <w:tcPr>
            <w:tcW w:w="5529" w:type="dxa"/>
            <w:tcBorders>
              <w:top w:val="single" w:color="auto" w:sz="4" w:space="0"/>
              <w:left w:val="single" w:color="auto" w:sz="4" w:space="0"/>
              <w:bottom w:val="single" w:color="auto" w:sz="4" w:space="0"/>
              <w:right w:val="single" w:color="auto" w:sz="4" w:space="0"/>
            </w:tcBorders>
          </w:tcPr>
          <w:p>
            <w:pPr>
              <w:spacing w:line="360" w:lineRule="auto"/>
              <w:rPr>
                <w:rFonts w:ascii="微软雅黑" w:hAnsi="微软雅黑" w:cs="宋体"/>
                <w:sz w:val="18"/>
                <w:szCs w:val="18"/>
              </w:rPr>
            </w:pPr>
            <w:r>
              <w:rPr>
                <w:rFonts w:hint="eastAsia" w:ascii="微软雅黑" w:hAnsi="微软雅黑" w:cs="宋体"/>
                <w:sz w:val="18"/>
                <w:szCs w:val="18"/>
              </w:rPr>
              <w:t>直接在相关文件上电子签章、手写签批。</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宋体" w:cs="宋体"/>
                <w:sz w:val="18"/>
                <w:szCs w:val="18"/>
                <w:lang w:eastAsia="zh-CN"/>
              </w:rPr>
            </w:pPr>
            <w:r>
              <w:rPr>
                <w:rFonts w:hint="eastAsia" w:ascii="微软雅黑" w:hAnsi="微软雅黑" w:cs="宋体"/>
                <w:sz w:val="18"/>
                <w:szCs w:val="18"/>
                <w:lang w:val="en-US" w:eastAsia="zh-CN"/>
              </w:rPr>
              <w:t>35</w:t>
            </w:r>
          </w:p>
        </w:tc>
      </w:tr>
      <w:tr>
        <w:tblPrEx>
          <w:tblLayout w:type="fixed"/>
          <w:tblCellMar>
            <w:top w:w="0" w:type="dxa"/>
            <w:left w:w="108" w:type="dxa"/>
            <w:bottom w:w="0" w:type="dxa"/>
            <w:right w:w="108" w:type="dxa"/>
          </w:tblCellMar>
        </w:tblPrEx>
        <w:trPr>
          <w:trHeight w:val="3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111"/>
              <w:rPr>
                <w:rFonts w:ascii="微软雅黑" w:hAnsi="微软雅黑" w:cs="宋体"/>
                <w:sz w:val="18"/>
                <w:szCs w:val="18"/>
              </w:rPr>
            </w:pPr>
            <w:r>
              <w:rPr>
                <w:rFonts w:hint="eastAsia" w:ascii="微软雅黑" w:hAnsi="微软雅黑" w:cs="宋体"/>
                <w:sz w:val="18"/>
                <w:szCs w:val="18"/>
              </w:rPr>
              <w:t>1</w:t>
            </w:r>
            <w:r>
              <w:rPr>
                <w:rFonts w:hint="eastAsia" w:ascii="微软雅黑" w:hAnsi="微软雅黑" w:cs="宋体"/>
                <w:sz w:val="18"/>
                <w:szCs w:val="18"/>
                <w:lang w:val="en-US" w:eastAsia="zh-CN"/>
              </w:rPr>
              <w:t>6</w:t>
            </w:r>
          </w:p>
        </w:tc>
        <w:tc>
          <w:tcPr>
            <w:tcW w:w="1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cs="宋体"/>
                <w:sz w:val="18"/>
                <w:szCs w:val="18"/>
              </w:rPr>
            </w:pPr>
            <w:r>
              <w:rPr>
                <w:rFonts w:hint="eastAsia" w:ascii="微软雅黑" w:hAnsi="微软雅黑" w:cs="宋体"/>
                <w:sz w:val="18"/>
                <w:szCs w:val="18"/>
              </w:rPr>
              <w:t>用户数</w:t>
            </w:r>
          </w:p>
        </w:tc>
        <w:tc>
          <w:tcPr>
            <w:tcW w:w="5529" w:type="dxa"/>
            <w:tcBorders>
              <w:top w:val="single" w:color="auto" w:sz="4" w:space="0"/>
              <w:left w:val="single" w:color="auto" w:sz="4" w:space="0"/>
              <w:bottom w:val="single" w:color="auto" w:sz="4" w:space="0"/>
              <w:right w:val="single" w:color="auto" w:sz="4" w:space="0"/>
            </w:tcBorders>
          </w:tcPr>
          <w:p>
            <w:pPr>
              <w:spacing w:line="360" w:lineRule="auto"/>
              <w:rPr>
                <w:rFonts w:ascii="微软雅黑" w:hAnsi="微软雅黑" w:cs="宋体"/>
                <w:sz w:val="18"/>
                <w:szCs w:val="18"/>
              </w:rPr>
            </w:pPr>
            <w:r>
              <w:rPr>
                <w:rFonts w:hint="eastAsia" w:ascii="微软雅黑" w:hAnsi="微软雅黑" w:cs="宋体"/>
                <w:sz w:val="18"/>
                <w:szCs w:val="18"/>
              </w:rPr>
              <w:t>使用软件的操作人员数量。</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宋体" w:cs="宋体"/>
                <w:sz w:val="18"/>
                <w:szCs w:val="18"/>
                <w:lang w:eastAsia="zh-CN"/>
              </w:rPr>
            </w:pPr>
            <w:r>
              <w:rPr>
                <w:rFonts w:hint="eastAsia" w:ascii="微软雅黑" w:hAnsi="微软雅黑" w:cs="宋体"/>
                <w:sz w:val="18"/>
                <w:szCs w:val="18"/>
                <w:lang w:val="en-US" w:eastAsia="zh-CN"/>
              </w:rPr>
              <w:t>250</w:t>
            </w:r>
          </w:p>
        </w:tc>
      </w:tr>
    </w:tbl>
    <w:p>
      <w:pPr>
        <w:pStyle w:val="3"/>
        <w:spacing w:line="360" w:lineRule="auto"/>
        <w:jc w:val="left"/>
        <w:rPr>
          <w:rFonts w:ascii="微软雅黑" w:hAnsi="微软雅黑" w:eastAsia="微软雅黑" w:cs="宋体"/>
          <w:b w:val="0"/>
          <w:bCs w:val="0"/>
          <w:color w:val="000000"/>
        </w:rPr>
      </w:pPr>
      <w:bookmarkStart w:id="107" w:name="_Toc508133984"/>
      <w:r>
        <w:rPr>
          <w:rFonts w:hint="eastAsia" w:ascii="微软雅黑" w:hAnsi="微软雅黑" w:eastAsia="微软雅黑" w:cs="宋体"/>
          <w:b w:val="0"/>
          <w:bCs w:val="0"/>
          <w:color w:val="000000"/>
        </w:rPr>
        <w:t>六、功能需求描述</w:t>
      </w:r>
      <w:bookmarkEnd w:id="107"/>
    </w:p>
    <w:p>
      <w:pPr>
        <w:rPr>
          <w:b/>
        </w:rPr>
      </w:pPr>
      <w:bookmarkStart w:id="108" w:name="_Toc502087542"/>
      <w:r>
        <w:rPr>
          <w:rFonts w:hint="eastAsia"/>
          <w:b/>
        </w:rPr>
        <w:t>基础管理</w:t>
      </w:r>
      <w:bookmarkEnd w:id="108"/>
    </w:p>
    <w:p>
      <w:pPr>
        <w:pStyle w:val="40"/>
        <w:numPr>
          <w:ilvl w:val="0"/>
          <w:numId w:val="9"/>
        </w:numPr>
        <w:spacing w:line="360" w:lineRule="auto"/>
        <w:ind w:firstLineChars="0"/>
        <w:rPr>
          <w:szCs w:val="21"/>
        </w:rPr>
      </w:pPr>
      <w:r>
        <w:rPr>
          <w:rFonts w:hint="eastAsia"/>
          <w:szCs w:val="21"/>
        </w:rPr>
        <w:t>协同办公平台具有独立的后台管理平台，组织架构要按公司内部的组织架构和用户体系来设置，可以进行灵活调整。用户可通过传统树状的组织结构形式逐级查询人员、也可以自定义组、自定义查询等方法来利用组织树查询。组织机构配置管理通过定义部门的属性及其之间的关系，可以形成树状组织机构图，需要实现角色管理、权限管理、界面管理、日志管理。组织架构可以建立多维组织管理及矩阵式管理模式，以适用公司业务调整需求。</w:t>
      </w:r>
    </w:p>
    <w:p>
      <w:pPr>
        <w:pStyle w:val="40"/>
        <w:numPr>
          <w:ilvl w:val="0"/>
          <w:numId w:val="9"/>
        </w:numPr>
        <w:spacing w:line="360" w:lineRule="auto"/>
        <w:ind w:firstLineChars="0"/>
        <w:rPr>
          <w:szCs w:val="21"/>
        </w:rPr>
      </w:pPr>
      <w:r>
        <w:rPr>
          <w:rFonts w:hint="eastAsia"/>
          <w:szCs w:val="21"/>
        </w:rPr>
        <w:t>支持系统应用和功能模块的分级分权，包括组织架构分权、档案管理分权、流程分权、信息门号分权等。要有一整套非常灵活的基于对象权限和用户角色概念的授权机制。为便于用户自身进行个人工作内容的管理，满足个性化的办公习惯及需求，需要系统自身具备个性化界面配置，布局及内容的自定义。实现对系统的管理安全，以及对突发事件的及时处理与追逆，需要对系统的登录、操作、浏览等进行记录与管理。并且可以根据实际情况对日志文件进行保留、删除，并且对日志文件的大小以及保管的期限做设定。实现系统正常运行的一系列维护工具。另外，系统也要提供了完整的备份和恢复机制，帮助用户在系统出现问题时能够快速恢复整个系统，保证系统的正常使用。</w:t>
      </w:r>
    </w:p>
    <w:p>
      <w:pPr>
        <w:pStyle w:val="40"/>
        <w:numPr>
          <w:ilvl w:val="0"/>
          <w:numId w:val="9"/>
        </w:numPr>
        <w:spacing w:line="360" w:lineRule="auto"/>
        <w:ind w:firstLineChars="0"/>
      </w:pPr>
      <w:r>
        <w:rPr>
          <w:rFonts w:hint="eastAsia"/>
          <w:szCs w:val="21"/>
        </w:rPr>
        <w:t>组织架构管理必须包含：组织层级管理、岗位权限体系管理、组织架构维护等；人员岗位调岗管理：员工调岗时系统能清楚调出到岗人员工作痕迹，方便工作事务的交接；人员离职管理：员工离职系统能自动汇总离职人员的事务代办、未完结流程、文档、领用资产等，便于办理离职审批。</w:t>
      </w:r>
      <w:r>
        <w:rPr>
          <w:szCs w:val="21"/>
        </w:rPr>
        <w:t xml:space="preserve"> </w:t>
      </w:r>
    </w:p>
    <w:p>
      <w:pPr>
        <w:rPr>
          <w:b/>
        </w:rPr>
      </w:pPr>
      <w:bookmarkStart w:id="109" w:name="_Toc470722086"/>
      <w:bookmarkStart w:id="110" w:name="_Toc502087543"/>
      <w:r>
        <w:rPr>
          <w:rFonts w:hint="eastAsia"/>
          <w:b/>
        </w:rPr>
        <w:t>门户管理</w:t>
      </w:r>
      <w:bookmarkEnd w:id="109"/>
      <w:bookmarkEnd w:id="110"/>
    </w:p>
    <w:p>
      <w:pPr>
        <w:pStyle w:val="40"/>
        <w:numPr>
          <w:ilvl w:val="0"/>
          <w:numId w:val="10"/>
        </w:numPr>
        <w:spacing w:line="360" w:lineRule="auto"/>
        <w:ind w:firstLineChars="0"/>
        <w:rPr>
          <w:szCs w:val="21"/>
        </w:rPr>
      </w:pPr>
      <w:r>
        <w:rPr>
          <w:rFonts w:hint="eastAsia"/>
          <w:szCs w:val="21"/>
        </w:rPr>
        <w:t>支持灵活建立门户，并可自定义门户页的风格、结构和内容，可根据公司组织架构体系分级别设置权限，即支持今后多下属单位、多组织、多人员、多岗位、多级别、多维度的矩阵式管理模式，针对文件、信息、通知等系统中的元素提供权限设置，实现泸州兴阳投资集团有限公司对权限控制的灵活要求及全方位的权限控制，实现今后下级单位之间的逻辑隔离，不同单位的人员登录自己的账号，只能看到自己被授权看到的内容，可以实现跨单位、跨级别审批，禁止用企业级架构套用泸州兴阳投资集团有限公司架构，提供足够的灵活度满足组织架构及人员调整的实际情况；</w:t>
      </w:r>
    </w:p>
    <w:p>
      <w:pPr>
        <w:pStyle w:val="40"/>
        <w:numPr>
          <w:ilvl w:val="0"/>
          <w:numId w:val="10"/>
        </w:numPr>
        <w:spacing w:line="360" w:lineRule="auto"/>
        <w:ind w:firstLineChars="0"/>
        <w:rPr>
          <w:szCs w:val="21"/>
        </w:rPr>
      </w:pPr>
      <w:r>
        <w:rPr>
          <w:rFonts w:hint="eastAsia"/>
          <w:szCs w:val="21"/>
        </w:rPr>
        <w:t>多级门户界面设置：可以自由设计、定制门户界面，包括界面内容与界面布局以及风格；可以根据不同需求设定不同的内部门户，如泸州兴阳投资集团有限公司门户、部门门户、领导门户、个人办公门户等不同用户通过岗位权限获取门户个性化的信息；系统可以为用户按自己的需要和使用习惯，自助定制界面，用户可定制个人门户选择自己常用的功能、常看的信息、个性化布局等；</w:t>
      </w:r>
    </w:p>
    <w:p>
      <w:pPr>
        <w:pStyle w:val="40"/>
        <w:numPr>
          <w:ilvl w:val="0"/>
          <w:numId w:val="10"/>
        </w:numPr>
        <w:spacing w:line="360" w:lineRule="auto"/>
        <w:ind w:firstLineChars="0"/>
        <w:rPr>
          <w:szCs w:val="21"/>
        </w:rPr>
      </w:pPr>
      <w:r>
        <w:rPr>
          <w:rFonts w:hint="eastAsia"/>
          <w:szCs w:val="21"/>
        </w:rPr>
        <w:t>能够实现信息的发布功能，包括新闻、通知公告、公文信息等的信息发布和查看；</w:t>
      </w:r>
    </w:p>
    <w:p>
      <w:pPr>
        <w:pStyle w:val="40"/>
        <w:numPr>
          <w:ilvl w:val="0"/>
          <w:numId w:val="10"/>
        </w:numPr>
        <w:spacing w:line="360" w:lineRule="auto"/>
        <w:ind w:firstLineChars="0"/>
        <w:rPr>
          <w:szCs w:val="21"/>
        </w:rPr>
      </w:pPr>
      <w:r>
        <w:rPr>
          <w:rFonts w:hint="eastAsia"/>
          <w:szCs w:val="21"/>
        </w:rPr>
        <w:t>用户识别：用户登录系统时，系统可以在鉴别访问者的用户角色后，自动根据规则和权限设置推送、展示相应的信息和待办工作提醒；</w:t>
      </w:r>
    </w:p>
    <w:p>
      <w:pPr>
        <w:pStyle w:val="40"/>
        <w:numPr>
          <w:ilvl w:val="0"/>
          <w:numId w:val="10"/>
        </w:numPr>
        <w:spacing w:line="360" w:lineRule="auto"/>
        <w:ind w:firstLineChars="0"/>
        <w:rPr>
          <w:szCs w:val="21"/>
        </w:rPr>
      </w:pPr>
      <w:r>
        <w:rPr>
          <w:rFonts w:hint="eastAsia"/>
          <w:szCs w:val="21"/>
        </w:rPr>
        <w:t>支持单点登录：通过</w:t>
      </w:r>
      <w:r>
        <w:rPr>
          <w:szCs w:val="21"/>
        </w:rPr>
        <w:t>portal</w:t>
      </w:r>
      <w:r>
        <w:rPr>
          <w:rFonts w:hint="eastAsia"/>
          <w:szCs w:val="21"/>
        </w:rPr>
        <w:t>实现统一登录、功能集成，用户使用同一用户名、密码便可访问各系统；</w:t>
      </w:r>
    </w:p>
    <w:p>
      <w:pPr>
        <w:pStyle w:val="40"/>
        <w:numPr>
          <w:ilvl w:val="0"/>
          <w:numId w:val="10"/>
        </w:numPr>
        <w:spacing w:line="360" w:lineRule="auto"/>
        <w:ind w:firstLineChars="0"/>
        <w:rPr>
          <w:szCs w:val="21"/>
        </w:rPr>
      </w:pPr>
      <w:r>
        <w:rPr>
          <w:rFonts w:hint="eastAsia"/>
          <w:szCs w:val="21"/>
        </w:rPr>
        <w:t>同时需要在门户上提供访问统计分析，点击率等体现门户使用状态的功能，监控门户的使用情况。</w:t>
      </w:r>
    </w:p>
    <w:p>
      <w:pPr>
        <w:rPr>
          <w:b/>
        </w:rPr>
      </w:pPr>
      <w:bookmarkStart w:id="111" w:name="_Toc470722087"/>
      <w:bookmarkStart w:id="112" w:name="_Toc502087544"/>
      <w:r>
        <w:rPr>
          <w:rFonts w:hint="eastAsia"/>
          <w:b/>
        </w:rPr>
        <w:t>流程管理</w:t>
      </w:r>
      <w:bookmarkEnd w:id="111"/>
      <w:bookmarkEnd w:id="112"/>
    </w:p>
    <w:p>
      <w:pPr>
        <w:pStyle w:val="40"/>
        <w:numPr>
          <w:ilvl w:val="0"/>
          <w:numId w:val="11"/>
        </w:numPr>
        <w:spacing w:line="360" w:lineRule="auto"/>
        <w:ind w:firstLineChars="0"/>
        <w:rPr>
          <w:szCs w:val="21"/>
        </w:rPr>
      </w:pPr>
      <w:r>
        <w:rPr>
          <w:rFonts w:hint="eastAsia"/>
          <w:szCs w:val="21"/>
        </w:rPr>
        <w:t>通过流程的建立和规范，通过系统的流程数据分析，实现管理的规范化、标准化和高效化，最终达到优化流程。通过流程优化，减少泸州兴阳投资集团有限公司办公业务中的非增值活动、等待时间、重复和协调的工作量，在解决协同工作和信息共享的同时，实现在线业务流转和管理，真正提高办公效率，挖掘和发挥员工价值；同时基于泸州兴阳投资集团有限公司移动办公的需要，实现手机网上审批的功能。基于今后全泸州兴阳投资集团有限公司工作流应用推广的需要，需要从安全和部署方面能满足泸州兴阳投资集团有限公司今后需求扩展的要求，做到行业领先。</w:t>
      </w:r>
    </w:p>
    <w:p>
      <w:pPr>
        <w:pStyle w:val="40"/>
        <w:numPr>
          <w:ilvl w:val="0"/>
          <w:numId w:val="11"/>
        </w:numPr>
        <w:spacing w:line="360" w:lineRule="auto"/>
        <w:ind w:firstLineChars="0"/>
        <w:rPr>
          <w:szCs w:val="21"/>
        </w:rPr>
      </w:pPr>
      <w:r>
        <w:rPr>
          <w:rFonts w:hint="eastAsia"/>
          <w:szCs w:val="21"/>
        </w:rPr>
        <w:t>可视化流程自定义：支持灵活的可视化流程定义工具。可以根据需求任意定义各种工作流程，包括分支、汇总和循环、触发、撤销、收回、转发、抄送、强制归档等流程，并且可以随意定义私有流程、部门流程、修改已定义的各种流程。如：流程的处理人、修改权限、是否有批示等，可自行定义符合个性化的流程；</w:t>
      </w:r>
    </w:p>
    <w:p>
      <w:pPr>
        <w:pStyle w:val="40"/>
        <w:numPr>
          <w:ilvl w:val="0"/>
          <w:numId w:val="11"/>
        </w:numPr>
        <w:spacing w:line="360" w:lineRule="auto"/>
        <w:ind w:firstLineChars="0"/>
        <w:rPr>
          <w:szCs w:val="21"/>
        </w:rPr>
      </w:pPr>
      <w:r>
        <w:rPr>
          <w:rFonts w:hint="eastAsia"/>
          <w:szCs w:val="21"/>
        </w:rPr>
        <w:t>流程支持图形化设计：系统要求提供图形化表单设计功能，表单定制工具要求以可拖拽的图形化界面方式实现表单的定制和编辑，提供电子表格导入和流程图形化拖拽的配置功能。能够对各种表单元素进行处理，同时要求表单的定制与组织架构无缝结合，在表单定制操作上要求具有较强的可用性和便利性。</w:t>
      </w:r>
    </w:p>
    <w:p>
      <w:pPr>
        <w:pStyle w:val="40"/>
        <w:numPr>
          <w:ilvl w:val="0"/>
          <w:numId w:val="11"/>
        </w:numPr>
        <w:spacing w:line="360" w:lineRule="auto"/>
        <w:ind w:firstLineChars="0"/>
        <w:rPr>
          <w:szCs w:val="21"/>
        </w:rPr>
      </w:pPr>
      <w:r>
        <w:rPr>
          <w:rFonts w:hint="eastAsia"/>
          <w:szCs w:val="21"/>
        </w:rPr>
        <w:t>可以根据需求任意定义流程审批的各种常用操作，如“同意”、“已阅”等。</w:t>
      </w:r>
    </w:p>
    <w:p>
      <w:pPr>
        <w:pStyle w:val="40"/>
        <w:numPr>
          <w:ilvl w:val="0"/>
          <w:numId w:val="11"/>
        </w:numPr>
        <w:spacing w:line="360" w:lineRule="auto"/>
        <w:ind w:firstLineChars="0"/>
        <w:rPr>
          <w:szCs w:val="21"/>
        </w:rPr>
      </w:pPr>
      <w:r>
        <w:rPr>
          <w:rFonts w:hint="eastAsia"/>
          <w:szCs w:val="21"/>
        </w:rPr>
        <w:t>可以随时监控流程的流转情况，针对一些流程异常情况需提供提醒，便于流程负责人及时干预。</w:t>
      </w:r>
    </w:p>
    <w:p>
      <w:pPr>
        <w:pStyle w:val="40"/>
        <w:numPr>
          <w:ilvl w:val="0"/>
          <w:numId w:val="11"/>
        </w:numPr>
        <w:spacing w:line="360" w:lineRule="auto"/>
        <w:ind w:firstLineChars="0"/>
        <w:rPr>
          <w:szCs w:val="21"/>
        </w:rPr>
      </w:pPr>
      <w:r>
        <w:rPr>
          <w:rFonts w:hint="eastAsia"/>
          <w:szCs w:val="21"/>
        </w:rPr>
        <w:t>提供流程提醒、邮件提醒、短信提醒、即时消息提醒等多种提醒方式，即能够与邮件系统、短信平台集成，支持发送邮件、短信及即时消息。</w:t>
      </w:r>
    </w:p>
    <w:p>
      <w:pPr>
        <w:pStyle w:val="40"/>
        <w:numPr>
          <w:ilvl w:val="0"/>
          <w:numId w:val="11"/>
        </w:numPr>
        <w:spacing w:line="360" w:lineRule="auto"/>
        <w:ind w:firstLineChars="0"/>
        <w:rPr>
          <w:szCs w:val="21"/>
        </w:rPr>
      </w:pPr>
      <w:r>
        <w:rPr>
          <w:rFonts w:hint="eastAsia"/>
          <w:szCs w:val="21"/>
        </w:rPr>
        <w:t>流程支持多版本，不会因为流程版本的更新导致原流程中的申请单出现问题。</w:t>
      </w:r>
    </w:p>
    <w:p>
      <w:pPr>
        <w:pStyle w:val="40"/>
        <w:numPr>
          <w:ilvl w:val="0"/>
          <w:numId w:val="11"/>
        </w:numPr>
        <w:spacing w:line="360" w:lineRule="auto"/>
        <w:ind w:firstLineChars="0"/>
        <w:rPr>
          <w:szCs w:val="21"/>
        </w:rPr>
      </w:pPr>
      <w:r>
        <w:rPr>
          <w:rFonts w:hint="eastAsia"/>
          <w:szCs w:val="21"/>
        </w:rPr>
        <w:t>提供根据不同流程设置不同的流程委托代理人功能，并要求支持委托代理时间段设置。</w:t>
      </w:r>
    </w:p>
    <w:p>
      <w:pPr>
        <w:pStyle w:val="40"/>
        <w:numPr>
          <w:ilvl w:val="0"/>
          <w:numId w:val="11"/>
        </w:numPr>
        <w:spacing w:line="360" w:lineRule="auto"/>
        <w:ind w:firstLineChars="0"/>
        <w:rPr>
          <w:szCs w:val="21"/>
        </w:rPr>
      </w:pPr>
      <w:r>
        <w:rPr>
          <w:rFonts w:hint="eastAsia"/>
          <w:szCs w:val="21"/>
        </w:rPr>
        <w:t>流程监控：可以实时监控流程的流转情况，包括审批的结果和状态。</w:t>
      </w:r>
    </w:p>
    <w:p>
      <w:pPr>
        <w:pStyle w:val="40"/>
        <w:numPr>
          <w:ilvl w:val="0"/>
          <w:numId w:val="11"/>
        </w:numPr>
        <w:spacing w:line="360" w:lineRule="auto"/>
        <w:ind w:firstLineChars="0"/>
        <w:rPr>
          <w:szCs w:val="21"/>
        </w:rPr>
      </w:pPr>
      <w:r>
        <w:rPr>
          <w:rFonts w:hint="eastAsia"/>
          <w:szCs w:val="21"/>
        </w:rPr>
        <w:t>流程督办：督办人员可以对流程流转过程中进行督办和催办提醒。</w:t>
      </w:r>
    </w:p>
    <w:p>
      <w:pPr>
        <w:pStyle w:val="40"/>
        <w:numPr>
          <w:ilvl w:val="0"/>
          <w:numId w:val="11"/>
        </w:numPr>
        <w:spacing w:line="360" w:lineRule="auto"/>
        <w:ind w:firstLineChars="0"/>
        <w:rPr>
          <w:szCs w:val="21"/>
        </w:rPr>
      </w:pPr>
      <w:r>
        <w:rPr>
          <w:rFonts w:hint="eastAsia"/>
          <w:szCs w:val="21"/>
        </w:rPr>
        <w:t>自动触发：可以根据设定时间、根据事件自动触发启动某流程。</w:t>
      </w:r>
    </w:p>
    <w:p>
      <w:pPr>
        <w:pStyle w:val="40"/>
        <w:numPr>
          <w:ilvl w:val="0"/>
          <w:numId w:val="11"/>
        </w:numPr>
        <w:spacing w:line="360" w:lineRule="auto"/>
        <w:ind w:firstLineChars="0"/>
        <w:rPr>
          <w:szCs w:val="21"/>
        </w:rPr>
      </w:pPr>
      <w:r>
        <w:rPr>
          <w:rFonts w:hint="eastAsia"/>
          <w:szCs w:val="21"/>
        </w:rPr>
        <w:t>时间控制：能够预设流程办理中各节点的办理时间，并针对超时的流程进行重新触发或标注提醒。</w:t>
      </w:r>
    </w:p>
    <w:p>
      <w:pPr>
        <w:pStyle w:val="40"/>
        <w:numPr>
          <w:ilvl w:val="0"/>
          <w:numId w:val="11"/>
        </w:numPr>
        <w:spacing w:line="360" w:lineRule="auto"/>
        <w:ind w:firstLineChars="0"/>
        <w:rPr>
          <w:szCs w:val="21"/>
        </w:rPr>
      </w:pPr>
      <w:r>
        <w:rPr>
          <w:rFonts w:hint="eastAsia"/>
          <w:szCs w:val="21"/>
        </w:rPr>
        <w:t>流程数据统计报表</w:t>
      </w:r>
      <w:r>
        <w:rPr>
          <w:szCs w:val="21"/>
        </w:rPr>
        <w:t>:</w:t>
      </w:r>
      <w:r>
        <w:rPr>
          <w:rFonts w:hint="eastAsia"/>
          <w:szCs w:val="21"/>
        </w:rPr>
        <w:t>对流程流转过的数据根提供图形化报表统计、汇总、分析。</w:t>
      </w:r>
    </w:p>
    <w:p>
      <w:pPr>
        <w:pStyle w:val="40"/>
        <w:numPr>
          <w:ilvl w:val="0"/>
          <w:numId w:val="11"/>
        </w:numPr>
        <w:spacing w:line="360" w:lineRule="auto"/>
        <w:ind w:firstLineChars="0"/>
        <w:rPr>
          <w:szCs w:val="21"/>
        </w:rPr>
      </w:pPr>
      <w:r>
        <w:rPr>
          <w:rFonts w:hint="eastAsia"/>
          <w:szCs w:val="21"/>
        </w:rPr>
        <w:t>工作流效率分析统计：对流程各环节的执行时间、审批记录、工作流的回退等信息进行统计分析，以图形化方式展现流程效率报表，用于分析影响流程执行的瓶颈。</w:t>
      </w:r>
    </w:p>
    <w:p>
      <w:pPr>
        <w:pStyle w:val="40"/>
        <w:numPr>
          <w:ilvl w:val="0"/>
          <w:numId w:val="11"/>
        </w:numPr>
        <w:spacing w:line="360" w:lineRule="auto"/>
        <w:ind w:firstLineChars="0"/>
        <w:rPr>
          <w:szCs w:val="21"/>
        </w:rPr>
      </w:pPr>
      <w:r>
        <w:rPr>
          <w:rFonts w:hint="eastAsia"/>
          <w:szCs w:val="21"/>
        </w:rPr>
        <w:t>提供流程分类管理及维护，并可设定流程的发起权限，对于没有权限的人员，无法看到此流程。</w:t>
      </w:r>
    </w:p>
    <w:p>
      <w:pPr>
        <w:pStyle w:val="40"/>
        <w:numPr>
          <w:ilvl w:val="0"/>
          <w:numId w:val="11"/>
        </w:numPr>
        <w:spacing w:line="360" w:lineRule="auto"/>
        <w:ind w:firstLineChars="0"/>
        <w:rPr>
          <w:szCs w:val="21"/>
        </w:rPr>
      </w:pPr>
      <w:r>
        <w:rPr>
          <w:rFonts w:hint="eastAsia"/>
          <w:szCs w:val="21"/>
        </w:rPr>
        <w:t>必须提供与文件、公文、合同、资产等信息的关联功能，即在填写、查看或者审批申请单时，关联到此申请单相关的审批事项、规章制度、合同等参考文档或参考信息，帮助操作人员进一步了解详细信息。</w:t>
      </w:r>
    </w:p>
    <w:p>
      <w:pPr>
        <w:rPr>
          <w:b/>
        </w:rPr>
      </w:pPr>
      <w:bookmarkStart w:id="113" w:name="_Toc502087545"/>
      <w:bookmarkStart w:id="114" w:name="_Toc364153504"/>
      <w:bookmarkStart w:id="115" w:name="_Toc364106376"/>
      <w:bookmarkStart w:id="116" w:name="_Toc358908520"/>
      <w:bookmarkStart w:id="117" w:name="_Toc470722089"/>
      <w:r>
        <w:rPr>
          <w:rFonts w:hint="eastAsia"/>
          <w:b/>
        </w:rPr>
        <w:t>知识管理</w:t>
      </w:r>
      <w:bookmarkEnd w:id="113"/>
      <w:bookmarkEnd w:id="114"/>
      <w:bookmarkEnd w:id="115"/>
      <w:bookmarkEnd w:id="116"/>
      <w:bookmarkEnd w:id="117"/>
    </w:p>
    <w:p>
      <w:pPr>
        <w:pStyle w:val="40"/>
        <w:numPr>
          <w:ilvl w:val="0"/>
          <w:numId w:val="12"/>
        </w:numPr>
        <w:spacing w:line="360" w:lineRule="auto"/>
        <w:ind w:firstLineChars="0"/>
        <w:rPr>
          <w:szCs w:val="21"/>
        </w:rPr>
      </w:pPr>
      <w:r>
        <w:rPr>
          <w:rFonts w:hint="eastAsia"/>
          <w:szCs w:val="21"/>
        </w:rPr>
        <w:t>能够对泸州兴阳投资集团有限公司的技术资料、规章制度资料、专业资料、文件档案、标准化文件、系统资料、各种报表等进行统一的管理，并支持多级目录设置功能。</w:t>
      </w:r>
      <w:r>
        <w:rPr>
          <w:szCs w:val="21"/>
        </w:rPr>
        <w:t xml:space="preserve"> </w:t>
      </w:r>
    </w:p>
    <w:p>
      <w:pPr>
        <w:pStyle w:val="40"/>
        <w:numPr>
          <w:ilvl w:val="0"/>
          <w:numId w:val="12"/>
        </w:numPr>
        <w:spacing w:line="360" w:lineRule="auto"/>
        <w:ind w:firstLineChars="0"/>
        <w:rPr>
          <w:szCs w:val="21"/>
        </w:rPr>
      </w:pPr>
      <w:r>
        <w:rPr>
          <w:rFonts w:hint="eastAsia"/>
          <w:szCs w:val="21"/>
        </w:rPr>
        <w:t>支持</w:t>
      </w:r>
      <w:r>
        <w:rPr>
          <w:szCs w:val="21"/>
        </w:rPr>
        <w:t>HTML</w:t>
      </w:r>
      <w:r>
        <w:rPr>
          <w:rFonts w:hint="eastAsia"/>
          <w:szCs w:val="21"/>
        </w:rPr>
        <w:t>、</w:t>
      </w:r>
      <w:r>
        <w:rPr>
          <w:szCs w:val="21"/>
        </w:rPr>
        <w:t>Word</w:t>
      </w:r>
      <w:r>
        <w:rPr>
          <w:rFonts w:hint="eastAsia"/>
          <w:szCs w:val="21"/>
        </w:rPr>
        <w:t>、</w:t>
      </w:r>
      <w:r>
        <w:rPr>
          <w:szCs w:val="21"/>
        </w:rPr>
        <w:t>Excel</w:t>
      </w:r>
      <w:r>
        <w:rPr>
          <w:rFonts w:hint="eastAsia"/>
          <w:szCs w:val="21"/>
        </w:rPr>
        <w:t>等多种在线编辑和保存功能，支持多附件上传。</w:t>
      </w:r>
    </w:p>
    <w:p>
      <w:pPr>
        <w:pStyle w:val="40"/>
        <w:numPr>
          <w:ilvl w:val="0"/>
          <w:numId w:val="12"/>
        </w:numPr>
        <w:spacing w:line="360" w:lineRule="auto"/>
        <w:ind w:firstLineChars="0"/>
        <w:rPr>
          <w:szCs w:val="21"/>
        </w:rPr>
      </w:pPr>
      <w:r>
        <w:rPr>
          <w:rFonts w:hint="eastAsia"/>
          <w:szCs w:val="21"/>
        </w:rPr>
        <w:t>提供公司各种文件模板库管理功能，文件新建时，可以直接套用模板录入。</w:t>
      </w:r>
    </w:p>
    <w:p>
      <w:pPr>
        <w:pStyle w:val="40"/>
        <w:numPr>
          <w:ilvl w:val="0"/>
          <w:numId w:val="12"/>
        </w:numPr>
        <w:spacing w:line="360" w:lineRule="auto"/>
        <w:ind w:firstLineChars="0"/>
        <w:rPr>
          <w:szCs w:val="21"/>
        </w:rPr>
      </w:pPr>
      <w:r>
        <w:rPr>
          <w:rFonts w:hint="eastAsia"/>
          <w:szCs w:val="21"/>
        </w:rPr>
        <w:t>具有严格的权限控制，可进行下载控制、打印控制、附件容量控制等；支持大容量文件上传和断点续传。</w:t>
      </w:r>
      <w:r>
        <w:rPr>
          <w:szCs w:val="21"/>
        </w:rPr>
        <w:t xml:space="preserve"> </w:t>
      </w:r>
    </w:p>
    <w:p>
      <w:pPr>
        <w:pStyle w:val="40"/>
        <w:numPr>
          <w:ilvl w:val="0"/>
          <w:numId w:val="12"/>
        </w:numPr>
        <w:spacing w:line="360" w:lineRule="auto"/>
        <w:ind w:firstLineChars="0"/>
        <w:rPr>
          <w:szCs w:val="21"/>
        </w:rPr>
      </w:pPr>
      <w:r>
        <w:rPr>
          <w:rFonts w:hint="eastAsia"/>
          <w:szCs w:val="21"/>
        </w:rPr>
        <w:t>提供版本管理功能，文件修改的所有版本都可以查询和统计。</w:t>
      </w:r>
      <w:r>
        <w:rPr>
          <w:szCs w:val="21"/>
        </w:rPr>
        <w:t xml:space="preserve"> </w:t>
      </w:r>
    </w:p>
    <w:p>
      <w:pPr>
        <w:pStyle w:val="40"/>
        <w:numPr>
          <w:ilvl w:val="0"/>
          <w:numId w:val="12"/>
        </w:numPr>
        <w:spacing w:line="360" w:lineRule="auto"/>
        <w:ind w:firstLineChars="0"/>
        <w:rPr>
          <w:szCs w:val="21"/>
        </w:rPr>
      </w:pPr>
      <w:r>
        <w:rPr>
          <w:rFonts w:hint="eastAsia"/>
          <w:szCs w:val="21"/>
        </w:rPr>
        <w:t>对知识管理的操作如下载操作均需要提供日志查询功能便于进行操作分析。</w:t>
      </w:r>
    </w:p>
    <w:p>
      <w:pPr>
        <w:pStyle w:val="40"/>
        <w:numPr>
          <w:ilvl w:val="0"/>
          <w:numId w:val="12"/>
        </w:numPr>
        <w:spacing w:line="360" w:lineRule="auto"/>
        <w:ind w:firstLineChars="0"/>
        <w:rPr>
          <w:szCs w:val="21"/>
        </w:rPr>
      </w:pPr>
      <w:r>
        <w:rPr>
          <w:rFonts w:hint="eastAsia"/>
          <w:szCs w:val="21"/>
        </w:rPr>
        <w:t>提供对文档信息的查询统计功能，能够查询统计出文档的数量及使用频率等信息。</w:t>
      </w:r>
    </w:p>
    <w:p>
      <w:pPr>
        <w:pStyle w:val="40"/>
        <w:numPr>
          <w:ilvl w:val="0"/>
          <w:numId w:val="12"/>
        </w:numPr>
        <w:spacing w:line="360" w:lineRule="auto"/>
        <w:ind w:firstLineChars="0"/>
        <w:rPr>
          <w:szCs w:val="21"/>
        </w:rPr>
      </w:pPr>
      <w:r>
        <w:rPr>
          <w:rFonts w:hint="eastAsia"/>
          <w:szCs w:val="21"/>
        </w:rPr>
        <w:t>网络硬盘：允许给员工分配网络硬盘空间。</w:t>
      </w:r>
    </w:p>
    <w:p>
      <w:pPr>
        <w:rPr>
          <w:b/>
        </w:rPr>
      </w:pPr>
      <w:bookmarkStart w:id="118" w:name="_Toc502087546"/>
      <w:bookmarkStart w:id="119" w:name="_Toc364153505"/>
      <w:bookmarkStart w:id="120" w:name="_Toc364106377"/>
      <w:bookmarkStart w:id="121" w:name="_Toc358908521"/>
      <w:bookmarkStart w:id="122" w:name="_Toc470722088"/>
      <w:bookmarkStart w:id="123" w:name="_Toc364153506"/>
      <w:bookmarkStart w:id="124" w:name="_Toc470722090"/>
      <w:r>
        <w:rPr>
          <w:rFonts w:hint="eastAsia"/>
          <w:b/>
        </w:rPr>
        <w:t>公文管理</w:t>
      </w:r>
      <w:bookmarkEnd w:id="118"/>
      <w:bookmarkEnd w:id="119"/>
      <w:bookmarkEnd w:id="120"/>
      <w:bookmarkEnd w:id="121"/>
      <w:bookmarkEnd w:id="122"/>
    </w:p>
    <w:p>
      <w:pPr>
        <w:spacing w:line="360" w:lineRule="auto"/>
        <w:ind w:firstLine="420"/>
        <w:jc w:val="left"/>
        <w:rPr>
          <w:szCs w:val="21"/>
        </w:rPr>
      </w:pPr>
      <w:bookmarkStart w:id="125" w:name="_Toc225918592"/>
      <w:bookmarkEnd w:id="125"/>
      <w:r>
        <w:rPr>
          <w:rFonts w:hint="eastAsia"/>
          <w:szCs w:val="21"/>
        </w:rPr>
        <w:t>公文管理要完成对公文的提交、审批、督办、催办、转办、监控、登记、通知以及查询等全过程的电子化，实现对发文、收文、请示、信息报送等文件的起草、审批、签发、套红、打印、分送、归档等环节的规范化、电子化、效率化管理，便于查询和统计。</w:t>
      </w:r>
    </w:p>
    <w:p>
      <w:pPr>
        <w:spacing w:line="360" w:lineRule="auto"/>
        <w:ind w:firstLine="420"/>
        <w:jc w:val="left"/>
        <w:rPr>
          <w:szCs w:val="21"/>
        </w:rPr>
      </w:pPr>
      <w:bookmarkStart w:id="126" w:name="_Toc383790187"/>
      <w:r>
        <w:rPr>
          <w:rFonts w:hint="eastAsia"/>
          <w:szCs w:val="21"/>
        </w:rPr>
        <w:t>（1）发文管理</w:t>
      </w:r>
      <w:bookmarkEnd w:id="126"/>
    </w:p>
    <w:p>
      <w:pPr>
        <w:spacing w:line="360" w:lineRule="auto"/>
        <w:ind w:firstLine="420"/>
        <w:jc w:val="left"/>
        <w:rPr>
          <w:szCs w:val="21"/>
        </w:rPr>
      </w:pPr>
      <w:r>
        <w:rPr>
          <w:rFonts w:hint="eastAsia"/>
          <w:szCs w:val="21"/>
        </w:rPr>
        <w:t>实现文件起草、审核、会签、签发、转办、督办、催办、自动编号、套红、校对、盖章、分发等。</w:t>
      </w:r>
    </w:p>
    <w:p>
      <w:pPr>
        <w:spacing w:line="360" w:lineRule="auto"/>
        <w:ind w:firstLine="420"/>
        <w:jc w:val="left"/>
        <w:rPr>
          <w:szCs w:val="21"/>
        </w:rPr>
      </w:pPr>
      <w:bookmarkStart w:id="127" w:name="_Toc383790188"/>
      <w:r>
        <w:rPr>
          <w:rFonts w:hint="eastAsia"/>
          <w:szCs w:val="21"/>
        </w:rPr>
        <w:t>（2）收文管理</w:t>
      </w:r>
      <w:bookmarkEnd w:id="127"/>
    </w:p>
    <w:p>
      <w:pPr>
        <w:spacing w:line="360" w:lineRule="auto"/>
        <w:ind w:firstLine="420"/>
        <w:jc w:val="left"/>
        <w:rPr>
          <w:szCs w:val="21"/>
        </w:rPr>
      </w:pPr>
      <w:r>
        <w:rPr>
          <w:rFonts w:hint="eastAsia"/>
          <w:szCs w:val="21"/>
        </w:rPr>
        <w:t>来文的形式包括传统的纸质文件和通过网络传输的电子公文两种。收文管理需要实现收文登记（支持扫描件、word、pdf、excel、wps、html等来文格式）、审核、拟办、承办（主办、协办）、传阅、催办，提供公文督办功能。</w:t>
      </w:r>
    </w:p>
    <w:p>
      <w:pPr>
        <w:spacing w:line="360" w:lineRule="auto"/>
        <w:ind w:firstLine="420"/>
        <w:jc w:val="left"/>
        <w:rPr>
          <w:szCs w:val="21"/>
        </w:rPr>
      </w:pPr>
      <w:bookmarkStart w:id="128" w:name="_Toc383790189"/>
      <w:r>
        <w:rPr>
          <w:rFonts w:hint="eastAsia"/>
          <w:szCs w:val="21"/>
        </w:rPr>
        <w:t>（3）请示报告</w:t>
      </w:r>
      <w:bookmarkEnd w:id="128"/>
    </w:p>
    <w:p>
      <w:pPr>
        <w:spacing w:line="360" w:lineRule="auto"/>
        <w:ind w:firstLine="420"/>
        <w:jc w:val="left"/>
        <w:rPr>
          <w:szCs w:val="21"/>
        </w:rPr>
      </w:pPr>
      <w:r>
        <w:rPr>
          <w:rFonts w:hint="eastAsia"/>
          <w:szCs w:val="21"/>
        </w:rPr>
        <w:t>请示报告是公司内各部门经由办公室在部门间批阅的途径。实现各部门请示报告的生成、部门意见的签署、办公室拟办意见的签署和领导批示等全过程的网上作业，实现流程的实时监控，保证请示报告单的安全、快速运转。</w:t>
      </w:r>
    </w:p>
    <w:p>
      <w:pPr>
        <w:spacing w:line="360" w:lineRule="auto"/>
        <w:ind w:firstLine="420"/>
        <w:jc w:val="left"/>
        <w:rPr>
          <w:szCs w:val="21"/>
        </w:rPr>
      </w:pPr>
      <w:bookmarkStart w:id="129" w:name="_Toc383790191"/>
      <w:r>
        <w:rPr>
          <w:rFonts w:hint="eastAsia"/>
          <w:szCs w:val="21"/>
        </w:rPr>
        <w:t>（4）其他要求</w:t>
      </w:r>
      <w:bookmarkEnd w:id="129"/>
    </w:p>
    <w:p>
      <w:pPr>
        <w:spacing w:line="360" w:lineRule="auto"/>
        <w:ind w:firstLine="420"/>
        <w:jc w:val="left"/>
        <w:rPr>
          <w:szCs w:val="21"/>
        </w:rPr>
      </w:pPr>
      <w:r>
        <w:rPr>
          <w:rFonts w:hint="eastAsia"/>
          <w:szCs w:val="21"/>
        </w:rPr>
        <w:t>必须支持不同版本的word、excel等office档案，也支持wps等国产软件的档案，支持视频、pdf、ppt等各种档案格式的存储。</w:t>
      </w:r>
    </w:p>
    <w:p>
      <w:pPr>
        <w:spacing w:line="360" w:lineRule="auto"/>
        <w:ind w:firstLine="420"/>
        <w:jc w:val="left"/>
        <w:rPr>
          <w:szCs w:val="21"/>
        </w:rPr>
      </w:pPr>
      <w:r>
        <w:rPr>
          <w:rFonts w:hint="eastAsia"/>
          <w:szCs w:val="21"/>
        </w:rPr>
        <w:t>图形化的流程显示，可以显示整个公文处理流程，即当前的处理节点，已经处理节点以及后续流程节点的图形化展示。</w:t>
      </w:r>
    </w:p>
    <w:p>
      <w:pPr>
        <w:spacing w:line="360" w:lineRule="auto"/>
        <w:ind w:firstLine="420"/>
        <w:jc w:val="left"/>
        <w:rPr>
          <w:szCs w:val="21"/>
        </w:rPr>
      </w:pPr>
      <w:r>
        <w:rPr>
          <w:rFonts w:hint="eastAsia"/>
          <w:szCs w:val="21"/>
        </w:rPr>
        <w:t>流转状态显示：可以显示每个流转节点的处理时间、接受时间、流转状态、处理人等信息。</w:t>
      </w:r>
    </w:p>
    <w:p>
      <w:pPr>
        <w:spacing w:line="360" w:lineRule="auto"/>
        <w:ind w:firstLine="420"/>
        <w:jc w:val="left"/>
        <w:rPr>
          <w:szCs w:val="21"/>
        </w:rPr>
      </w:pPr>
      <w:r>
        <w:rPr>
          <w:rFonts w:hint="eastAsia"/>
          <w:szCs w:val="21"/>
        </w:rPr>
        <w:t>公文统计：每月自动生成各部门公文办结报表，分类统计各种文件的流转情况，共多少文件，多少已办结、多少逾期未办结。</w:t>
      </w:r>
    </w:p>
    <w:p>
      <w:pPr>
        <w:spacing w:line="360" w:lineRule="auto"/>
        <w:ind w:firstLine="420"/>
        <w:jc w:val="left"/>
        <w:rPr>
          <w:szCs w:val="21"/>
        </w:rPr>
      </w:pPr>
      <w:r>
        <w:rPr>
          <w:rFonts w:hint="eastAsia"/>
          <w:szCs w:val="21"/>
        </w:rPr>
        <w:t>电子公文均应遵循国家规定相关规范。</w:t>
      </w:r>
    </w:p>
    <w:p>
      <w:pPr>
        <w:spacing w:line="360" w:lineRule="auto"/>
        <w:ind w:firstLine="420"/>
        <w:jc w:val="left"/>
        <w:rPr>
          <w:szCs w:val="21"/>
        </w:rPr>
      </w:pPr>
      <w:r>
        <w:rPr>
          <w:rFonts w:hint="eastAsia"/>
          <w:szCs w:val="21"/>
        </w:rPr>
        <w:t>支持从发文-公文交换-收文-归档全电子流程一体化的无缝流转，公文能够自动转为公告,发文正文可自动转为PDF格式。</w:t>
      </w:r>
    </w:p>
    <w:p>
      <w:pPr>
        <w:spacing w:line="360" w:lineRule="auto"/>
        <w:ind w:firstLine="420"/>
        <w:jc w:val="left"/>
        <w:rPr>
          <w:szCs w:val="21"/>
        </w:rPr>
      </w:pPr>
      <w:r>
        <w:rPr>
          <w:rFonts w:hint="eastAsia"/>
          <w:szCs w:val="21"/>
        </w:rPr>
        <w:t>对于纸质来文提供手动输入界面，录入来文标题、文号、发文单位、文件类型、附件信息、限办时间等信息，并自动生成收文编号和收文日期（录入日期），同时提供文件电子化文件上传功能；可设置不同的范围和权限，同时提供状态跟踪和催办、督办、转办等流程控制功能。</w:t>
      </w:r>
    </w:p>
    <w:p>
      <w:pPr>
        <w:spacing w:line="360" w:lineRule="auto"/>
        <w:ind w:firstLine="420"/>
        <w:jc w:val="left"/>
        <w:rPr>
          <w:szCs w:val="21"/>
        </w:rPr>
      </w:pPr>
      <w:r>
        <w:rPr>
          <w:rFonts w:hint="eastAsia"/>
          <w:szCs w:val="21"/>
        </w:rPr>
        <w:t>文件流转中（包括经理转批、领导阅批、文件阅办环节），提供委托授权和强行干预功能，即如遇出差、请假等无法使用系统的情况，可选择提前进行委托授权，以免耽误文件的正常流转和办理，而委托授权后仍无法正常流转的情况下，允许文件管理部门使用强行干预手段，疏通文件流转的障碍环节。</w:t>
      </w:r>
    </w:p>
    <w:p>
      <w:pPr>
        <w:spacing w:line="360" w:lineRule="auto"/>
        <w:ind w:firstLine="420"/>
        <w:jc w:val="left"/>
        <w:rPr>
          <w:szCs w:val="21"/>
        </w:rPr>
      </w:pPr>
      <w:r>
        <w:rPr>
          <w:rFonts w:hint="eastAsia"/>
          <w:szCs w:val="21"/>
        </w:rPr>
        <w:t>提醒功能：文件流转到某一环节处，应在当事人待办事宜进行提醒；此外，当文件流转超过设定期限后，系统自动提醒相关责任人进行处理。</w:t>
      </w:r>
    </w:p>
    <w:p>
      <w:pPr>
        <w:spacing w:line="360" w:lineRule="auto"/>
        <w:ind w:firstLine="420"/>
        <w:jc w:val="left"/>
        <w:rPr>
          <w:szCs w:val="21"/>
        </w:rPr>
      </w:pPr>
      <w:r>
        <w:rPr>
          <w:rFonts w:hint="eastAsia"/>
          <w:szCs w:val="21"/>
        </w:rPr>
        <w:t>自动归档：当上级来文阅、办全部结束后，由文件管理部门最终确认后，点击归档，自动实现文件正文、文件阅办单的归档保存。</w:t>
      </w:r>
    </w:p>
    <w:p>
      <w:pPr>
        <w:spacing w:line="360" w:lineRule="auto"/>
        <w:ind w:firstLine="420"/>
        <w:jc w:val="left"/>
        <w:rPr>
          <w:szCs w:val="21"/>
        </w:rPr>
      </w:pPr>
      <w:r>
        <w:rPr>
          <w:rFonts w:hint="eastAsia"/>
          <w:szCs w:val="21"/>
        </w:rPr>
        <w:t>公文管理，实现文件的起草、部门领导对内容的审核、所办对格式的审核，赋予文件编号，分管领导的签发，套印、归档、发布、调阅等功能，可设置不同的范围和权限。支持多级审批、会签、电子印章等功能，支持公文的回退功能。</w:t>
      </w:r>
    </w:p>
    <w:p>
      <w:pPr>
        <w:spacing w:line="360" w:lineRule="auto"/>
        <w:ind w:firstLine="420"/>
        <w:jc w:val="left"/>
        <w:rPr>
          <w:szCs w:val="21"/>
        </w:rPr>
      </w:pPr>
      <w:r>
        <w:rPr>
          <w:rFonts w:hint="eastAsia"/>
          <w:szCs w:val="21"/>
        </w:rPr>
        <w:t>公文套红自动套用标准公文模版，实现与word软件的无缝对接，自动填入相关信息。</w:t>
      </w:r>
    </w:p>
    <w:p>
      <w:pPr>
        <w:spacing w:line="360" w:lineRule="auto"/>
        <w:ind w:firstLine="420"/>
        <w:jc w:val="left"/>
        <w:rPr>
          <w:szCs w:val="21"/>
        </w:rPr>
      </w:pPr>
      <w:r>
        <w:rPr>
          <w:rFonts w:hint="eastAsia"/>
          <w:szCs w:val="21"/>
        </w:rPr>
        <w:t>公文编号登记，当文件管理部门对公文格式进行审核，点击确认后，由系统根据文件代字和数据库中已登记信息，自动分配文件字号；其他信息由系统根据公文内容或文件拟办单进行提取，自动完成公文编号登记，自动生成登记日期、文件名称、文件编号、印制份数、承办部门、签发人等信息。</w:t>
      </w:r>
    </w:p>
    <w:p>
      <w:pPr>
        <w:spacing w:line="360" w:lineRule="auto"/>
        <w:ind w:firstLine="420"/>
        <w:jc w:val="left"/>
        <w:rPr>
          <w:szCs w:val="21"/>
        </w:rPr>
      </w:pPr>
      <w:r>
        <w:rPr>
          <w:rFonts w:hint="eastAsia"/>
          <w:szCs w:val="21"/>
        </w:rPr>
        <w:t>可实现组合条件的综合查询和文件的全文检索，包括发文日期（指定日期或时间段）查询，对文件标题、文件字号、附件信息的模糊查询，对文件类型、承办部门的选择查询等。</w:t>
      </w:r>
    </w:p>
    <w:p>
      <w:pPr>
        <w:rPr>
          <w:b/>
        </w:rPr>
      </w:pPr>
      <w:bookmarkStart w:id="130" w:name="_Toc502087547"/>
      <w:r>
        <w:rPr>
          <w:rFonts w:hint="eastAsia"/>
          <w:b/>
        </w:rPr>
        <w:t>综合办公管理</w:t>
      </w:r>
      <w:bookmarkEnd w:id="123"/>
      <w:bookmarkEnd w:id="124"/>
      <w:bookmarkEnd w:id="130"/>
    </w:p>
    <w:p>
      <w:pPr>
        <w:spacing w:line="360" w:lineRule="auto"/>
        <w:ind w:firstLine="420"/>
        <w:rPr>
          <w:szCs w:val="21"/>
        </w:rPr>
      </w:pPr>
      <w:bookmarkStart w:id="131" w:name="_Toc383790199"/>
      <w:r>
        <w:rPr>
          <w:rFonts w:hint="eastAsia"/>
          <w:szCs w:val="21"/>
        </w:rPr>
        <w:t>（1）</w:t>
      </w:r>
      <w:bookmarkEnd w:id="131"/>
      <w:r>
        <w:rPr>
          <w:rFonts w:hint="eastAsia"/>
          <w:szCs w:val="21"/>
        </w:rPr>
        <w:t>即时通讯</w:t>
      </w:r>
    </w:p>
    <w:p>
      <w:pPr>
        <w:spacing w:line="360" w:lineRule="auto"/>
        <w:ind w:firstLine="420"/>
        <w:rPr>
          <w:szCs w:val="21"/>
        </w:rPr>
      </w:pPr>
      <w:r>
        <w:rPr>
          <w:rFonts w:hint="eastAsia"/>
          <w:szCs w:val="21"/>
        </w:rPr>
        <w:t xml:space="preserve">   支持与OA系统无缝进行对接，实现点对点的信息交流、消息在PC端与移动端实时进行互通，并能便捷知道信息阅读状态。</w:t>
      </w:r>
    </w:p>
    <w:p>
      <w:pPr>
        <w:spacing w:line="360" w:lineRule="auto"/>
        <w:ind w:firstLine="420"/>
        <w:rPr>
          <w:szCs w:val="21"/>
        </w:rPr>
      </w:pPr>
      <w:bookmarkStart w:id="132" w:name="_Toc384393858"/>
      <w:bookmarkStart w:id="133" w:name="_Toc383790194"/>
      <w:bookmarkStart w:id="134" w:name="_Toc383790202"/>
      <w:r>
        <w:rPr>
          <w:rFonts w:hint="eastAsia"/>
          <w:szCs w:val="21"/>
        </w:rPr>
        <w:t>（2）日程管理</w:t>
      </w:r>
      <w:bookmarkEnd w:id="132"/>
      <w:bookmarkEnd w:id="133"/>
    </w:p>
    <w:p>
      <w:pPr>
        <w:pStyle w:val="42"/>
        <w:spacing w:line="360" w:lineRule="auto"/>
        <w:ind w:firstLine="420" w:firstLineChars="200"/>
        <w:jc w:val="both"/>
        <w:rPr>
          <w:rFonts w:asciiTheme="minorHAnsi" w:hAnsiTheme="minorHAnsi" w:cstheme="minorBidi"/>
          <w:color w:val="auto"/>
          <w:kern w:val="2"/>
          <w:sz w:val="21"/>
          <w:szCs w:val="21"/>
        </w:rPr>
      </w:pPr>
      <w:r>
        <w:rPr>
          <w:rFonts w:hint="eastAsia" w:asciiTheme="minorHAnsi" w:hAnsiTheme="minorHAnsi" w:cstheme="minorBidi"/>
          <w:color w:val="auto"/>
          <w:kern w:val="2"/>
          <w:sz w:val="21"/>
          <w:szCs w:val="21"/>
        </w:rPr>
        <w:t>日程管理实现日程录入、日程提醒、日程共享、日程公开、日程汇总等功能。并可以与其他办公模块同步，如与会议管理、计划任务、档案管理等。</w:t>
      </w:r>
    </w:p>
    <w:p>
      <w:pPr>
        <w:spacing w:line="360" w:lineRule="auto"/>
        <w:ind w:firstLine="420"/>
        <w:rPr>
          <w:szCs w:val="21"/>
        </w:rPr>
      </w:pPr>
      <w:bookmarkStart w:id="135" w:name="_Toc383790192"/>
      <w:bookmarkStart w:id="136" w:name="_Toc384393857"/>
      <w:r>
        <w:rPr>
          <w:rFonts w:hint="eastAsia"/>
          <w:szCs w:val="21"/>
        </w:rPr>
        <w:t>（3）会议管理</w:t>
      </w:r>
      <w:bookmarkEnd w:id="135"/>
      <w:bookmarkEnd w:id="136"/>
    </w:p>
    <w:p>
      <w:pPr>
        <w:spacing w:line="360" w:lineRule="auto"/>
        <w:ind w:firstLine="420"/>
        <w:rPr>
          <w:szCs w:val="21"/>
        </w:rPr>
      </w:pPr>
      <w:r>
        <w:rPr>
          <w:rFonts w:hint="eastAsia"/>
          <w:szCs w:val="21"/>
        </w:rPr>
        <w:t>现有系统中的会议管理模块与实际的会议使用有区别，现在会议室资源、会议安排、会议议定事项的督办等工作仍是全部靠人工管理，容易产生冲突和遗漏。要求实现会议室资源和会议安排信息一目了然，提供冲突提醒功能，实现会议议定事项与相关人员个人待办事项的关联。会议申请、审批，会议统计情况的实时发布，会议人员通知、会议资料传递、会议记录、会议决议下达、会议决议与日程的关联、会议决议执行和监控、会议决议执行情况汇总等功能。</w:t>
      </w:r>
    </w:p>
    <w:p>
      <w:pPr>
        <w:spacing w:line="360" w:lineRule="auto"/>
        <w:ind w:firstLine="420"/>
        <w:rPr>
          <w:szCs w:val="21"/>
        </w:rPr>
      </w:pPr>
      <w:r>
        <w:rPr>
          <w:rFonts w:hint="eastAsia"/>
          <w:szCs w:val="21"/>
        </w:rPr>
        <w:t>会议前期准备中可以提供会议多个主题、参会人员通知（系统内、短信、邮件）、上会资料准备；会议召开过程中人员参与情况，会议纪要的分发，决议的确认；会议决议督办会议决议产生的任务，通过会议督办模块，实现跟踪功能；会议资料沉淀帮助完成会议准备相关档案、会议纪要等资料的收集。</w:t>
      </w:r>
      <w:bookmarkStart w:id="137" w:name="_Toc383790193"/>
    </w:p>
    <w:p>
      <w:pPr>
        <w:spacing w:line="360" w:lineRule="auto"/>
        <w:ind w:firstLine="420"/>
        <w:rPr>
          <w:szCs w:val="21"/>
        </w:rPr>
      </w:pPr>
      <w:r>
        <w:rPr>
          <w:rFonts w:hint="eastAsia"/>
          <w:szCs w:val="21"/>
        </w:rPr>
        <w:t>用户</w:t>
      </w:r>
      <w:bookmarkEnd w:id="137"/>
      <w:r>
        <w:rPr>
          <w:rFonts w:hint="eastAsia"/>
          <w:szCs w:val="21"/>
        </w:rPr>
        <w:t>可以发起会议通知，选定时间、地点、主题、会议参会人员，参会人员可回执是否参加，并可转办请其他人代为参会。同时可以提交议题，文字和附件均可，并明确是否公开；确认有公司领导参加的会议需同时填写邀请公司领导的请示单，有公司领导参加的会议需写进公共日程。会议议题管理：会议议题的申请和报送、会议议题的审定、会议议题的选择、会议资料的发送。预设模版：为了提高会议筹备效率和规范性，可以在系统中预设会议通知的模版供参考和使用。</w:t>
      </w:r>
    </w:p>
    <w:p>
      <w:pPr>
        <w:spacing w:line="360" w:lineRule="auto"/>
        <w:ind w:firstLine="420"/>
        <w:rPr>
          <w:szCs w:val="21"/>
        </w:rPr>
      </w:pPr>
      <w:r>
        <w:rPr>
          <w:rFonts w:hint="eastAsia"/>
          <w:szCs w:val="21"/>
        </w:rPr>
        <w:t>（4）</w:t>
      </w:r>
      <w:bookmarkEnd w:id="134"/>
      <w:bookmarkStart w:id="138" w:name="_Toc383790207"/>
      <w:r>
        <w:rPr>
          <w:rFonts w:hint="eastAsia"/>
          <w:szCs w:val="21"/>
        </w:rPr>
        <w:t>通讯录</w:t>
      </w:r>
      <w:bookmarkEnd w:id="138"/>
    </w:p>
    <w:p>
      <w:pPr>
        <w:spacing w:line="360" w:lineRule="auto"/>
        <w:ind w:firstLine="420"/>
        <w:rPr>
          <w:szCs w:val="21"/>
        </w:rPr>
      </w:pPr>
      <w:r>
        <w:rPr>
          <w:rFonts w:hint="eastAsia"/>
          <w:szCs w:val="21"/>
        </w:rPr>
        <w:t>提供界面供大家查询员工联系方式， 包括姓名、部门、办公电话、电邮等。</w:t>
      </w:r>
    </w:p>
    <w:p>
      <w:pPr>
        <w:spacing w:line="360" w:lineRule="auto"/>
        <w:ind w:firstLine="420"/>
        <w:rPr>
          <w:szCs w:val="21"/>
        </w:rPr>
      </w:pPr>
      <w:bookmarkStart w:id="139" w:name="_Toc383790208"/>
      <w:r>
        <w:rPr>
          <w:rFonts w:hint="eastAsia"/>
          <w:szCs w:val="21"/>
        </w:rPr>
        <w:t>（5）邮件管理</w:t>
      </w:r>
      <w:bookmarkEnd w:id="139"/>
    </w:p>
    <w:p>
      <w:pPr>
        <w:spacing w:line="360" w:lineRule="auto"/>
        <w:ind w:firstLine="420"/>
        <w:rPr>
          <w:szCs w:val="21"/>
        </w:rPr>
      </w:pPr>
      <w:r>
        <w:rPr>
          <w:rFonts w:hint="eastAsia"/>
          <w:szCs w:val="21"/>
        </w:rPr>
        <w:t>邮件管理模块可以与公司现有邮件系统集成，为公司内部提供电子邮件服务，用于部门与部门、部门内部传递各类电子档案。涵盖了收发普通电子邮件的主要功能。主要包括：撰写新邮件、已发送邮件、收件箱、草稿箱、回收站、文件夹设置等。实现内外部邮件转发功能</w:t>
      </w:r>
    </w:p>
    <w:p>
      <w:pPr>
        <w:rPr>
          <w:b/>
        </w:rPr>
      </w:pPr>
      <w:bookmarkStart w:id="140" w:name="_Toc502087548"/>
      <w:r>
        <w:rPr>
          <w:rFonts w:hint="eastAsia"/>
          <w:b/>
        </w:rPr>
        <w:t>微信企业号对接</w:t>
      </w:r>
      <w:bookmarkEnd w:id="140"/>
    </w:p>
    <w:p>
      <w:pPr>
        <w:spacing w:line="360" w:lineRule="auto"/>
        <w:ind w:firstLine="420"/>
        <w:rPr>
          <w:szCs w:val="21"/>
        </w:rPr>
      </w:pPr>
      <w:r>
        <w:rPr>
          <w:rFonts w:hint="eastAsia"/>
          <w:szCs w:val="21"/>
        </w:rPr>
        <w:t>实现OA与微信企业号的功能对接，在微信企业号中便捷使用OA功能。将公司新闻资讯、组织架构、审批流程自动推送到微信企业号中进行审批。</w:t>
      </w:r>
    </w:p>
    <w:p>
      <w:pPr>
        <w:pStyle w:val="40"/>
        <w:numPr>
          <w:ilvl w:val="0"/>
          <w:numId w:val="13"/>
        </w:numPr>
        <w:spacing w:line="360" w:lineRule="auto"/>
        <w:ind w:firstLineChars="0"/>
        <w:rPr>
          <w:szCs w:val="21"/>
        </w:rPr>
      </w:pPr>
      <w:r>
        <w:rPr>
          <w:rFonts w:hint="eastAsia"/>
          <w:szCs w:val="21"/>
        </w:rPr>
        <w:t>实现工作信息的提醒；</w:t>
      </w:r>
    </w:p>
    <w:p>
      <w:pPr>
        <w:pStyle w:val="40"/>
        <w:numPr>
          <w:ilvl w:val="0"/>
          <w:numId w:val="13"/>
        </w:numPr>
        <w:spacing w:line="360" w:lineRule="auto"/>
        <w:ind w:firstLineChars="0"/>
        <w:rPr>
          <w:szCs w:val="21"/>
        </w:rPr>
      </w:pPr>
      <w:r>
        <w:rPr>
          <w:rFonts w:hint="eastAsia"/>
          <w:szCs w:val="21"/>
        </w:rPr>
        <w:t>实现新闻、公告、文档等查阅；</w:t>
      </w:r>
    </w:p>
    <w:p>
      <w:pPr>
        <w:pStyle w:val="40"/>
        <w:numPr>
          <w:ilvl w:val="0"/>
          <w:numId w:val="13"/>
        </w:numPr>
        <w:spacing w:line="360" w:lineRule="auto"/>
        <w:ind w:firstLineChars="0"/>
        <w:rPr>
          <w:szCs w:val="21"/>
        </w:rPr>
      </w:pPr>
      <w:r>
        <w:rPr>
          <w:rFonts w:hint="eastAsia"/>
          <w:szCs w:val="21"/>
        </w:rPr>
        <w:t>实现事项的发起；</w:t>
      </w:r>
    </w:p>
    <w:p>
      <w:pPr>
        <w:pStyle w:val="40"/>
        <w:numPr>
          <w:ilvl w:val="0"/>
          <w:numId w:val="13"/>
        </w:numPr>
        <w:spacing w:line="360" w:lineRule="auto"/>
        <w:ind w:firstLineChars="0"/>
        <w:rPr>
          <w:szCs w:val="21"/>
        </w:rPr>
      </w:pPr>
      <w:r>
        <w:rPr>
          <w:rFonts w:hint="eastAsia"/>
          <w:szCs w:val="21"/>
        </w:rPr>
        <w:t>待办工作审批、事务审批跟踪、事务审批查询；</w:t>
      </w:r>
    </w:p>
    <w:p>
      <w:pPr>
        <w:pStyle w:val="40"/>
        <w:numPr>
          <w:ilvl w:val="0"/>
          <w:numId w:val="13"/>
        </w:numPr>
        <w:spacing w:line="360" w:lineRule="auto"/>
        <w:ind w:firstLineChars="0"/>
        <w:rPr>
          <w:szCs w:val="21"/>
        </w:rPr>
      </w:pPr>
      <w:r>
        <w:rPr>
          <w:rFonts w:hint="eastAsia"/>
          <w:szCs w:val="21"/>
        </w:rPr>
        <w:t>流程审批支持：手写批注、全文批注、语音审批、电子签章、上传相册、照片等功能；</w:t>
      </w:r>
    </w:p>
    <w:p>
      <w:pPr>
        <w:pStyle w:val="40"/>
        <w:numPr>
          <w:ilvl w:val="0"/>
          <w:numId w:val="13"/>
        </w:numPr>
        <w:spacing w:line="360" w:lineRule="auto"/>
        <w:ind w:firstLineChars="0"/>
        <w:rPr>
          <w:szCs w:val="21"/>
        </w:rPr>
      </w:pPr>
      <w:r>
        <w:rPr>
          <w:rFonts w:hint="eastAsia"/>
          <w:szCs w:val="21"/>
        </w:rPr>
        <w:t>通讯录管理：需要支持直接调用通讯录发邮件，手机可以直接调用通讯录通话；</w:t>
      </w:r>
    </w:p>
    <w:p>
      <w:pPr>
        <w:pStyle w:val="40"/>
        <w:numPr>
          <w:ilvl w:val="0"/>
          <w:numId w:val="13"/>
        </w:numPr>
        <w:spacing w:line="360" w:lineRule="auto"/>
        <w:ind w:firstLineChars="0"/>
        <w:rPr>
          <w:szCs w:val="21"/>
        </w:rPr>
      </w:pPr>
      <w:r>
        <w:rPr>
          <w:rFonts w:hint="eastAsia"/>
          <w:szCs w:val="21"/>
        </w:rPr>
        <w:t>日程、会议、工作安排查询；</w:t>
      </w:r>
    </w:p>
    <w:p>
      <w:pPr>
        <w:rPr>
          <w:b/>
        </w:rPr>
      </w:pPr>
      <w:bookmarkStart w:id="141" w:name="_Toc502087550"/>
      <w:r>
        <w:rPr>
          <w:rFonts w:hint="eastAsia"/>
          <w:b/>
        </w:rPr>
        <w:t>合同管理</w:t>
      </w:r>
      <w:bookmarkEnd w:id="141"/>
    </w:p>
    <w:p>
      <w:pPr>
        <w:spacing w:line="360" w:lineRule="auto"/>
        <w:ind w:firstLine="420" w:firstLineChars="200"/>
        <w:rPr>
          <w:szCs w:val="21"/>
        </w:rPr>
      </w:pPr>
      <w:r>
        <w:rPr>
          <w:rFonts w:hint="eastAsia"/>
          <w:szCs w:val="21"/>
        </w:rPr>
        <w:t>实现合同审批流程、合同付款审批流程、合同结算审批流程。审批结束后，自动将合同相关的合同总金额、支付金额、付款次数、付款明细等数据写入或更新到合同台账中。</w:t>
      </w:r>
    </w:p>
    <w:p>
      <w:pPr>
        <w:tabs>
          <w:tab w:val="left" w:pos="720"/>
        </w:tabs>
        <w:spacing w:line="360" w:lineRule="auto"/>
        <w:ind w:firstLine="420" w:firstLineChars="200"/>
        <w:rPr>
          <w:szCs w:val="21"/>
        </w:rPr>
      </w:pPr>
      <w:r>
        <w:rPr>
          <w:rFonts w:hint="eastAsia"/>
          <w:szCs w:val="21"/>
        </w:rPr>
        <w:t>实现填写合同付款流程时，在选择了付款所对应的合同审批流程之后，自动带出合同数据、历史付款数据、历史付款流程等内容。</w:t>
      </w:r>
    </w:p>
    <w:p>
      <w:pPr>
        <w:tabs>
          <w:tab w:val="left" w:pos="720"/>
        </w:tabs>
        <w:spacing w:line="360" w:lineRule="auto"/>
        <w:ind w:firstLine="420" w:firstLineChars="200"/>
        <w:rPr>
          <w:rFonts w:hint="eastAsia"/>
          <w:szCs w:val="21"/>
        </w:rPr>
      </w:pPr>
      <w:r>
        <w:rPr>
          <w:rFonts w:hint="eastAsia"/>
          <w:szCs w:val="21"/>
        </w:rPr>
        <w:t>实现对合同的付款情况进行数据统计分析功能。</w:t>
      </w:r>
    </w:p>
    <w:p>
      <w:pPr>
        <w:tabs>
          <w:tab w:val="left" w:pos="720"/>
        </w:tabs>
        <w:spacing w:line="360" w:lineRule="auto"/>
        <w:rPr>
          <w:rFonts w:hint="eastAsia"/>
          <w:b/>
          <w:color w:val="FF0000"/>
          <w:szCs w:val="21"/>
          <w:lang w:val="en-US" w:eastAsia="zh-CN"/>
        </w:rPr>
      </w:pPr>
      <w:r>
        <w:rPr>
          <w:rFonts w:hint="eastAsia"/>
          <w:b/>
          <w:color w:val="FF0000"/>
          <w:szCs w:val="21"/>
          <w:lang w:val="en-US" w:eastAsia="zh-CN"/>
        </w:rPr>
        <w:t>事件处理管理</w:t>
      </w:r>
    </w:p>
    <w:p>
      <w:pPr>
        <w:spacing w:line="360" w:lineRule="auto"/>
        <w:ind w:firstLine="420" w:firstLineChars="200"/>
        <w:rPr>
          <w:rFonts w:hint="eastAsia"/>
          <w:color w:val="FF0000"/>
          <w:szCs w:val="21"/>
        </w:rPr>
      </w:pPr>
      <w:r>
        <w:rPr>
          <w:rFonts w:hint="eastAsia"/>
          <w:color w:val="FF0000"/>
          <w:szCs w:val="21"/>
        </w:rPr>
        <w:t>实现</w:t>
      </w:r>
      <w:r>
        <w:rPr>
          <w:rFonts w:hint="eastAsia"/>
          <w:color w:val="FF0000"/>
          <w:szCs w:val="21"/>
          <w:lang w:val="en-US" w:eastAsia="zh-CN"/>
        </w:rPr>
        <w:t>事件分类处理</w:t>
      </w:r>
      <w:r>
        <w:rPr>
          <w:rFonts w:hint="eastAsia"/>
          <w:color w:val="FF0000"/>
          <w:szCs w:val="21"/>
        </w:rPr>
        <w:t>审批流程。审批结束后，</w:t>
      </w:r>
      <w:r>
        <w:rPr>
          <w:rFonts w:hint="eastAsia"/>
          <w:color w:val="FF0000"/>
          <w:szCs w:val="21"/>
          <w:lang w:val="en-US" w:eastAsia="zh-CN"/>
        </w:rPr>
        <w:t>将审批的处理事件自动分配给经办部门或经办人进行处理，并实现系统督查督办，事件处理过程中</w:t>
      </w:r>
      <w:r>
        <w:rPr>
          <w:rFonts w:hint="eastAsia"/>
          <w:color w:val="FF0000"/>
          <w:szCs w:val="21"/>
        </w:rPr>
        <w:t>自动将</w:t>
      </w:r>
      <w:r>
        <w:rPr>
          <w:rFonts w:hint="eastAsia"/>
          <w:color w:val="FF0000"/>
          <w:szCs w:val="21"/>
          <w:lang w:val="en-US" w:eastAsia="zh-CN"/>
        </w:rPr>
        <w:t>事件相关</w:t>
      </w:r>
      <w:r>
        <w:rPr>
          <w:rFonts w:hint="eastAsia"/>
          <w:color w:val="FF0000"/>
          <w:szCs w:val="21"/>
        </w:rPr>
        <w:t>数据</w:t>
      </w:r>
      <w:r>
        <w:rPr>
          <w:rFonts w:hint="eastAsia"/>
          <w:color w:val="FF0000"/>
          <w:szCs w:val="21"/>
          <w:lang w:val="en-US" w:eastAsia="zh-CN"/>
        </w:rPr>
        <w:t>和审签数据</w:t>
      </w:r>
      <w:r>
        <w:rPr>
          <w:rFonts w:hint="eastAsia"/>
          <w:color w:val="FF0000"/>
          <w:szCs w:val="21"/>
        </w:rPr>
        <w:t>写入或更新到</w:t>
      </w:r>
      <w:r>
        <w:rPr>
          <w:rFonts w:hint="eastAsia"/>
          <w:color w:val="FF0000"/>
          <w:szCs w:val="21"/>
          <w:lang w:val="en-US" w:eastAsia="zh-CN"/>
        </w:rPr>
        <w:t>事件处理</w:t>
      </w:r>
      <w:r>
        <w:rPr>
          <w:rFonts w:hint="eastAsia"/>
          <w:color w:val="FF0000"/>
          <w:szCs w:val="21"/>
        </w:rPr>
        <w:t>台账中</w:t>
      </w:r>
      <w:r>
        <w:rPr>
          <w:rFonts w:hint="eastAsia"/>
          <w:color w:val="FF0000"/>
          <w:szCs w:val="21"/>
          <w:lang w:eastAsia="zh-CN"/>
        </w:rPr>
        <w:t>，</w:t>
      </w:r>
      <w:r>
        <w:rPr>
          <w:rFonts w:hint="eastAsia"/>
          <w:color w:val="FF0000"/>
          <w:szCs w:val="21"/>
          <w:lang w:val="en-US" w:eastAsia="zh-CN"/>
        </w:rPr>
        <w:t>生成事件处理笺打印归档</w:t>
      </w:r>
      <w:r>
        <w:rPr>
          <w:rFonts w:hint="eastAsia"/>
          <w:color w:val="FF0000"/>
          <w:szCs w:val="21"/>
        </w:rPr>
        <w:t>。</w:t>
      </w:r>
    </w:p>
    <w:p>
      <w:pPr>
        <w:tabs>
          <w:tab w:val="left" w:pos="720"/>
        </w:tabs>
        <w:spacing w:line="360" w:lineRule="auto"/>
        <w:rPr>
          <w:rFonts w:hint="eastAsia"/>
          <w:b/>
          <w:color w:val="FF0000"/>
          <w:szCs w:val="21"/>
          <w:lang w:val="en-US" w:eastAsia="zh-CN"/>
        </w:rPr>
      </w:pPr>
      <w:r>
        <w:rPr>
          <w:rFonts w:hint="eastAsia"/>
          <w:b/>
          <w:color w:val="FF0000"/>
          <w:szCs w:val="21"/>
          <w:lang w:val="en-US" w:eastAsia="zh-CN"/>
        </w:rPr>
        <w:t>采购、招标管理</w:t>
      </w:r>
    </w:p>
    <w:p>
      <w:pPr>
        <w:spacing w:line="360" w:lineRule="auto"/>
        <w:ind w:firstLine="420" w:firstLineChars="200"/>
        <w:rPr>
          <w:rFonts w:hint="eastAsia"/>
          <w:color w:val="FF0000"/>
          <w:szCs w:val="21"/>
          <w:lang w:val="en-US" w:eastAsia="zh-CN"/>
        </w:rPr>
      </w:pPr>
      <w:r>
        <w:rPr>
          <w:rFonts w:hint="eastAsia"/>
          <w:color w:val="FF0000"/>
          <w:szCs w:val="21"/>
          <w:lang w:val="en-US" w:eastAsia="zh-CN"/>
        </w:rPr>
        <w:t>实现采购招标申请审批、采购文件和招标文件审查流程。</w:t>
      </w:r>
      <w:r>
        <w:rPr>
          <w:rFonts w:hint="eastAsia"/>
          <w:color w:val="FF0000"/>
          <w:szCs w:val="21"/>
        </w:rPr>
        <w:t>自动将</w:t>
      </w:r>
      <w:r>
        <w:rPr>
          <w:rFonts w:hint="eastAsia"/>
          <w:color w:val="FF0000"/>
          <w:szCs w:val="21"/>
          <w:lang w:val="en-US" w:eastAsia="zh-CN"/>
        </w:rPr>
        <w:t>采购招标数据</w:t>
      </w:r>
      <w:r>
        <w:rPr>
          <w:rFonts w:hint="eastAsia"/>
          <w:color w:val="FF0000"/>
          <w:szCs w:val="21"/>
        </w:rPr>
        <w:t>写入或更新到</w:t>
      </w:r>
      <w:r>
        <w:rPr>
          <w:rFonts w:hint="eastAsia"/>
          <w:color w:val="FF0000"/>
          <w:szCs w:val="21"/>
          <w:lang w:val="en-US" w:eastAsia="zh-CN"/>
        </w:rPr>
        <w:t>采购招标</w:t>
      </w:r>
      <w:r>
        <w:rPr>
          <w:rFonts w:hint="eastAsia"/>
          <w:color w:val="FF0000"/>
          <w:szCs w:val="21"/>
        </w:rPr>
        <w:t>台账中</w:t>
      </w:r>
      <w:r>
        <w:rPr>
          <w:rFonts w:hint="eastAsia"/>
          <w:color w:val="FF0000"/>
          <w:szCs w:val="21"/>
          <w:lang w:eastAsia="zh-CN"/>
        </w:rPr>
        <w:t>。</w:t>
      </w:r>
    </w:p>
    <w:p>
      <w:pPr>
        <w:tabs>
          <w:tab w:val="left" w:pos="720"/>
        </w:tabs>
        <w:spacing w:line="360" w:lineRule="auto"/>
        <w:rPr>
          <w:rFonts w:hint="eastAsia"/>
          <w:b/>
          <w:szCs w:val="21"/>
        </w:rPr>
      </w:pPr>
      <w:r>
        <w:rPr>
          <w:rFonts w:hint="eastAsia"/>
          <w:b/>
          <w:szCs w:val="21"/>
        </w:rPr>
        <w:t>国有资产管理</w:t>
      </w:r>
    </w:p>
    <w:p>
      <w:pPr>
        <w:spacing w:line="360" w:lineRule="auto"/>
        <w:ind w:firstLine="420" w:firstLineChars="200"/>
        <w:rPr>
          <w:rFonts w:hint="eastAsia"/>
          <w:szCs w:val="21"/>
        </w:rPr>
      </w:pPr>
      <w:r>
        <w:rPr>
          <w:rFonts w:hint="eastAsia"/>
          <w:szCs w:val="21"/>
        </w:rPr>
        <w:t>系统实现对国有资产（如：土地、商铺、住宅、厂房、写字楼、车库、水库等）的全生命周期管理，实现资产各项信息属性的状态记录、购入、变更申请、审批、出租、融资、抵押、维修、价值、折旧、历史资料保存等。</w:t>
      </w:r>
    </w:p>
    <w:p>
      <w:pPr>
        <w:spacing w:line="360" w:lineRule="auto"/>
        <w:ind w:firstLine="420" w:firstLineChars="200"/>
        <w:rPr>
          <w:rFonts w:hint="eastAsia"/>
          <w:szCs w:val="21"/>
        </w:rPr>
      </w:pPr>
      <w:r>
        <w:rPr>
          <w:rFonts w:hint="eastAsia"/>
          <w:szCs w:val="21"/>
        </w:rPr>
        <w:t>要求资产的各项属性字段能无限制的自定义，且支持各种字段类型。支持资产各种来源的详细过程及结果的管理。</w:t>
      </w:r>
    </w:p>
    <w:p>
      <w:pPr>
        <w:spacing w:line="360" w:lineRule="auto"/>
        <w:ind w:firstLine="420" w:firstLineChars="200"/>
        <w:rPr>
          <w:rFonts w:hint="eastAsia"/>
          <w:szCs w:val="21"/>
        </w:rPr>
      </w:pPr>
      <w:r>
        <w:rPr>
          <w:rFonts w:hint="eastAsia"/>
          <w:szCs w:val="21"/>
        </w:rPr>
        <w:t>支持资产各类证件资料及历史证件资料的上传管理，能实现资产各类附件资料格式的上传保存，包括图片、PDF、视频、Office文件等。</w:t>
      </w:r>
    </w:p>
    <w:p>
      <w:pPr>
        <w:spacing w:line="360" w:lineRule="auto"/>
        <w:ind w:firstLine="420" w:firstLineChars="200"/>
        <w:rPr>
          <w:rFonts w:hint="eastAsia"/>
          <w:szCs w:val="21"/>
        </w:rPr>
      </w:pPr>
      <w:r>
        <w:rPr>
          <w:rFonts w:hint="eastAsia"/>
          <w:szCs w:val="21"/>
        </w:rPr>
        <w:t>实现资产的出租过程管理，包括：租户管理、租金标准管理、租金价格自动计算、出租合同管理、合同到期提醒管理、保证金管理等，出租合同管理与集团综合办公管理平台系统中的合同管理是一套系统。</w:t>
      </w:r>
    </w:p>
    <w:p>
      <w:pPr>
        <w:spacing w:line="360" w:lineRule="auto"/>
        <w:ind w:firstLine="420" w:firstLineChars="200"/>
        <w:rPr>
          <w:rFonts w:hint="eastAsia"/>
          <w:szCs w:val="21"/>
        </w:rPr>
      </w:pPr>
      <w:r>
        <w:rPr>
          <w:rFonts w:hint="eastAsia"/>
          <w:szCs w:val="21"/>
        </w:rPr>
        <w:t>系统使用集团综合办公管理平台系统中的流程管理来实现资产管理中用到的各种审批流程，资产能关联历史的各种审批记录，能自定义资产审批中使用的表单字段、样式和流程图，审批流程中能支持电子签章。</w:t>
      </w:r>
    </w:p>
    <w:p>
      <w:pPr>
        <w:spacing w:line="360" w:lineRule="auto"/>
        <w:ind w:firstLine="420" w:firstLineChars="200"/>
        <w:rPr>
          <w:rFonts w:hint="eastAsia"/>
          <w:szCs w:val="21"/>
        </w:rPr>
      </w:pPr>
      <w:r>
        <w:rPr>
          <w:rFonts w:hint="eastAsia"/>
          <w:szCs w:val="21"/>
        </w:rPr>
        <w:t>支持对资产的详细权限管理，权限能细化到每个属性字段、历史记录、附件、流程、合同等的查看权、修改权，支持权限的分层、分级、分角色的管理，能实现集团及分子公司对资产的多维度多层级的权限分配。</w:t>
      </w:r>
    </w:p>
    <w:p>
      <w:pPr>
        <w:spacing w:line="360" w:lineRule="auto"/>
        <w:ind w:firstLine="420" w:firstLineChars="200"/>
        <w:rPr>
          <w:rFonts w:hint="eastAsia"/>
          <w:szCs w:val="21"/>
        </w:rPr>
      </w:pPr>
      <w:r>
        <w:rPr>
          <w:rFonts w:hint="eastAsia"/>
          <w:szCs w:val="21"/>
        </w:rPr>
        <w:t>能实现资产数据的导入和导出功能。</w:t>
      </w:r>
    </w:p>
    <w:p>
      <w:pPr>
        <w:spacing w:line="360" w:lineRule="auto"/>
        <w:ind w:firstLine="420" w:firstLineChars="200"/>
        <w:rPr>
          <w:rFonts w:hint="eastAsia"/>
          <w:szCs w:val="21"/>
        </w:rPr>
      </w:pPr>
      <w:r>
        <w:rPr>
          <w:rFonts w:hint="eastAsia"/>
          <w:szCs w:val="21"/>
        </w:rPr>
        <w:t>能实现资产数据的模糊查询，并能实现制作任意查询条件组合、各种结果字段的查询数据表。</w:t>
      </w:r>
    </w:p>
    <w:p>
      <w:pPr>
        <w:spacing w:line="360" w:lineRule="auto"/>
        <w:ind w:firstLine="420" w:firstLineChars="200"/>
        <w:rPr>
          <w:rFonts w:hint="eastAsia"/>
          <w:szCs w:val="21"/>
        </w:rPr>
      </w:pPr>
      <w:r>
        <w:rPr>
          <w:rFonts w:hint="eastAsia"/>
          <w:szCs w:val="21"/>
        </w:rPr>
        <w:t>使用系统支持资产二维码管理，支持移动端资产扫码功能。</w:t>
      </w:r>
    </w:p>
    <w:p>
      <w:pPr>
        <w:spacing w:line="360" w:lineRule="auto"/>
        <w:ind w:firstLine="420" w:firstLineChars="200"/>
        <w:rPr>
          <w:szCs w:val="21"/>
        </w:rPr>
      </w:pPr>
      <w:r>
        <w:rPr>
          <w:rFonts w:hint="eastAsia"/>
          <w:szCs w:val="21"/>
        </w:rPr>
        <w:t>能在集团综合办公管理平台系统中实现手机端对资产的便捷搜索和查看，并能在手机端对资产有关的审批申请、合同审批进行操作，同时要能预留接口，在后期建设中要能开发实现资产在手机端的其他管理应用功能。手机端要求支持：苹果IOS系统、谷歌安卓系统、微信企业号。</w:t>
      </w:r>
    </w:p>
    <w:p>
      <w:pPr>
        <w:rPr>
          <w:b/>
        </w:rPr>
      </w:pPr>
      <w:bookmarkStart w:id="142" w:name="_Toc502087551"/>
      <w:r>
        <w:rPr>
          <w:rFonts w:hint="eastAsia"/>
          <w:b/>
        </w:rPr>
        <w:t>办公资产管理</w:t>
      </w:r>
      <w:bookmarkEnd w:id="142"/>
    </w:p>
    <w:p>
      <w:pPr>
        <w:spacing w:line="360" w:lineRule="auto"/>
        <w:ind w:firstLine="420" w:firstLineChars="200"/>
        <w:rPr>
          <w:szCs w:val="21"/>
        </w:rPr>
      </w:pPr>
      <w:r>
        <w:rPr>
          <w:rFonts w:hint="eastAsia"/>
          <w:szCs w:val="21"/>
        </w:rPr>
        <w:t>系统支持办公用品信息进行登记、申请、审批、发放等操作。办公用品管理功能模块包括：用品登记、用品使用和用品统计等。系统支持资产二维码管理，支持移动端资产扫码，盘点功能。</w:t>
      </w:r>
    </w:p>
    <w:p>
      <w:pPr>
        <w:rPr>
          <w:b/>
        </w:rPr>
      </w:pPr>
      <w:bookmarkStart w:id="143" w:name="_Toc502087552"/>
      <w:r>
        <w:rPr>
          <w:rFonts w:hint="eastAsia"/>
          <w:b/>
        </w:rPr>
        <w:t>短信接口</w:t>
      </w:r>
      <w:bookmarkEnd w:id="143"/>
    </w:p>
    <w:p>
      <w:pPr>
        <w:spacing w:line="360" w:lineRule="auto"/>
        <w:ind w:firstLine="424" w:firstLineChars="202"/>
        <w:rPr>
          <w:szCs w:val="21"/>
        </w:rPr>
      </w:pPr>
      <w:r>
        <w:rPr>
          <w:rFonts w:hint="eastAsia" w:asciiTheme="minorHAnsi" w:hAnsiTheme="minorHAnsi" w:cstheme="minorBidi"/>
          <w:szCs w:val="21"/>
        </w:rPr>
        <w:t>能实现软件平台对外发送定制短信或者通过流程、邮件、车辆管理、会议管理、即时通讯等模块触发的短信</w:t>
      </w:r>
      <w:r>
        <w:rPr>
          <w:rFonts w:hint="eastAsia"/>
          <w:szCs w:val="21"/>
        </w:rPr>
        <w:t>功能</w:t>
      </w:r>
      <w:r>
        <w:rPr>
          <w:rFonts w:hint="eastAsia" w:asciiTheme="minorHAnsi" w:hAnsiTheme="minorHAnsi" w:cstheme="minorBidi"/>
          <w:szCs w:val="21"/>
        </w:rPr>
        <w:t>。</w:t>
      </w:r>
    </w:p>
    <w:p>
      <w:pPr>
        <w:rPr>
          <w:b/>
        </w:rPr>
      </w:pPr>
      <w:bookmarkStart w:id="144" w:name="_Toc502087553"/>
      <w:r>
        <w:rPr>
          <w:rFonts w:hint="eastAsia"/>
          <w:b/>
        </w:rPr>
        <w:t>全文批注、手写批注</w:t>
      </w:r>
      <w:bookmarkEnd w:id="144"/>
    </w:p>
    <w:p>
      <w:pPr>
        <w:spacing w:line="360" w:lineRule="auto"/>
        <w:ind w:left="372" w:leftChars="177"/>
        <w:rPr>
          <w:szCs w:val="21"/>
        </w:rPr>
      </w:pPr>
      <w:r>
        <w:rPr>
          <w:rFonts w:hint="eastAsia" w:asciiTheme="minorHAnsi" w:hAnsiTheme="minorHAnsi" w:cstheme="minorBidi"/>
          <w:szCs w:val="21"/>
        </w:rPr>
        <w:t>系统需支持在PC端实现office、WPS、PDF上全文批注，且支持在表单上使用手写批注。</w:t>
      </w:r>
    </w:p>
    <w:p>
      <w:pPr>
        <w:rPr>
          <w:b/>
        </w:rPr>
      </w:pPr>
      <w:bookmarkStart w:id="145" w:name="_Toc502087554"/>
      <w:r>
        <w:rPr>
          <w:rFonts w:hint="eastAsia"/>
          <w:b/>
        </w:rPr>
        <w:t>电子签章</w:t>
      </w:r>
      <w:bookmarkEnd w:id="145"/>
    </w:p>
    <w:p>
      <w:pPr>
        <w:spacing w:line="360" w:lineRule="auto"/>
        <w:ind w:firstLine="405" w:firstLineChars="193"/>
        <w:rPr>
          <w:rFonts w:hint="eastAsia" w:asciiTheme="minorHAnsi" w:hAnsiTheme="minorHAnsi" w:cstheme="minorBidi"/>
          <w:szCs w:val="21"/>
        </w:rPr>
      </w:pPr>
      <w:r>
        <w:rPr>
          <w:rFonts w:hint="eastAsia"/>
          <w:szCs w:val="21"/>
        </w:rPr>
        <w:t>需要</w:t>
      </w:r>
      <w:r>
        <w:rPr>
          <w:rFonts w:hint="eastAsia" w:asciiTheme="minorHAnsi" w:hAnsiTheme="minorHAnsi" w:cstheme="minorBidi"/>
          <w:szCs w:val="21"/>
        </w:rPr>
        <w:t>提供</w:t>
      </w:r>
      <w:r>
        <w:rPr>
          <w:rFonts w:asciiTheme="minorHAnsi" w:hAnsiTheme="minorHAnsi" w:cstheme="minorBidi"/>
          <w:szCs w:val="21"/>
        </w:rPr>
        <w:t>15</w:t>
      </w:r>
      <w:r>
        <w:rPr>
          <w:rFonts w:hint="eastAsia" w:asciiTheme="minorHAnsi" w:hAnsiTheme="minorHAnsi" w:cstheme="minorBidi"/>
          <w:szCs w:val="21"/>
        </w:rPr>
        <w:t>个电子签章，可以实现直接在相关文件上电子签章、手写签批。</w:t>
      </w:r>
    </w:p>
    <w:p>
      <w:pPr>
        <w:pStyle w:val="3"/>
        <w:spacing w:line="360" w:lineRule="auto"/>
        <w:jc w:val="left"/>
        <w:rPr>
          <w:rFonts w:hint="eastAsia" w:ascii="微软雅黑" w:hAnsi="微软雅黑" w:eastAsia="微软雅黑" w:cs="宋体"/>
          <w:b w:val="0"/>
          <w:bCs w:val="0"/>
          <w:color w:val="000000"/>
        </w:rPr>
      </w:pPr>
      <w:r>
        <w:rPr>
          <w:rFonts w:hint="eastAsia" w:ascii="微软雅黑" w:hAnsi="微软雅黑" w:eastAsia="微软雅黑" w:cs="宋体"/>
          <w:b w:val="0"/>
          <w:bCs w:val="0"/>
          <w:color w:val="000000"/>
          <w:lang w:eastAsia="zh-CN"/>
        </w:rPr>
        <w:t>七</w:t>
      </w:r>
      <w:r>
        <w:rPr>
          <w:rFonts w:hint="eastAsia" w:ascii="微软雅黑" w:hAnsi="微软雅黑" w:eastAsia="微软雅黑" w:cs="宋体"/>
          <w:b w:val="0"/>
          <w:bCs w:val="0"/>
          <w:color w:val="000000"/>
        </w:rPr>
        <w:t>、系统安全要求</w:t>
      </w:r>
    </w:p>
    <w:p>
      <w:pPr>
        <w:rPr>
          <w:rFonts w:hint="eastAsia"/>
          <w:b/>
        </w:rPr>
      </w:pPr>
      <w:r>
        <w:rPr>
          <w:rFonts w:hint="eastAsia"/>
          <w:b/>
        </w:rPr>
        <w:t>安全认证要求</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必须提供中国信息安全认证中心为本磋商产品认证的一个及以上规则的安全认证证书。</w:t>
      </w:r>
    </w:p>
    <w:p>
      <w:pPr>
        <w:rPr>
          <w:rFonts w:hint="eastAsia"/>
          <w:b/>
        </w:rPr>
      </w:pPr>
      <w:r>
        <w:rPr>
          <w:rFonts w:hint="eastAsia"/>
          <w:b/>
        </w:rPr>
        <w:t>防火墙要求</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应对数据服务器的防火墙系统提出建议，确保安全与访问效率的均衡。</w:t>
      </w:r>
    </w:p>
    <w:p>
      <w:pPr>
        <w:rPr>
          <w:rFonts w:hint="eastAsia"/>
          <w:b/>
        </w:rPr>
      </w:pPr>
      <w:r>
        <w:rPr>
          <w:rFonts w:hint="eastAsia"/>
          <w:b/>
        </w:rPr>
        <w:t>系统安全解决方案</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应编制系统安全解决方案，包括并不限于以下危险来源方面的解决方案：</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黑客攻击</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账号密码被盗</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账号密码过于简单被猜解</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网络传输过程中信息被截取</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网络病毒攻击</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权限泄露造成机密文件泄密</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人为泄露密码和资料</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系统安全性BUG</w:t>
      </w:r>
    </w:p>
    <w:p>
      <w:pPr>
        <w:spacing w:line="360" w:lineRule="auto"/>
        <w:ind w:firstLine="405" w:firstLineChars="193"/>
        <w:rPr>
          <w:rFonts w:hint="eastAsia" w:asciiTheme="minorHAnsi" w:hAnsiTheme="minorHAnsi" w:cstheme="minorBidi"/>
          <w:szCs w:val="21"/>
        </w:rPr>
      </w:pPr>
      <w:r>
        <w:rPr>
          <w:rFonts w:hint="eastAsia" w:asciiTheme="minorHAnsi" w:hAnsiTheme="minorHAnsi" w:cstheme="minorBidi"/>
          <w:szCs w:val="21"/>
        </w:rPr>
        <w:t>系统灾难</w:t>
      </w:r>
    </w:p>
    <w:p>
      <w:pPr>
        <w:pStyle w:val="2"/>
        <w:pageBreakBefore/>
        <w:spacing w:before="0" w:after="0" w:line="360" w:lineRule="exact"/>
        <w:jc w:val="center"/>
        <w:rPr>
          <w:rFonts w:hint="eastAsia" w:ascii="宋体" w:hAnsi="宋体"/>
          <w:bCs w:val="0"/>
          <w:color w:val="000000"/>
          <w:spacing w:val="8"/>
          <w:sz w:val="36"/>
          <w:szCs w:val="36"/>
        </w:rPr>
      </w:pPr>
      <w:bookmarkStart w:id="146" w:name="_Toc508133985"/>
      <w:r>
        <w:rPr>
          <w:rFonts w:hint="eastAsia" w:ascii="微软雅黑" w:hAnsi="微软雅黑" w:eastAsia="微软雅黑"/>
          <w:sz w:val="36"/>
          <w:szCs w:val="36"/>
        </w:rPr>
        <w:t>第五章  磋商程序、方法、标准</w:t>
      </w:r>
      <w:bookmarkEnd w:id="146"/>
    </w:p>
    <w:p>
      <w:pPr>
        <w:rPr>
          <w:rFonts w:hint="eastAsia" w:ascii="宋体" w:hAnsi="宋体"/>
          <w:color w:val="000000"/>
        </w:rPr>
      </w:pPr>
    </w:p>
    <w:p>
      <w:pPr>
        <w:spacing w:line="360" w:lineRule="auto"/>
        <w:ind w:firstLine="480" w:firstLineChars="200"/>
        <w:rPr>
          <w:rFonts w:hint="eastAsia" w:ascii="微软雅黑" w:hAnsi="微软雅黑" w:eastAsia="微软雅黑" w:cs="宋体"/>
          <w:b/>
          <w:color w:val="000000"/>
          <w:sz w:val="24"/>
          <w:lang w:val="en-US" w:eastAsia="zh-CN"/>
        </w:rPr>
      </w:pPr>
      <w:r>
        <w:rPr>
          <w:rFonts w:hint="eastAsia" w:ascii="微软雅黑" w:hAnsi="微软雅黑" w:eastAsia="微软雅黑" w:cs="宋体"/>
          <w:b/>
          <w:color w:val="000000"/>
          <w:sz w:val="24"/>
        </w:rPr>
        <w:t>一、</w:t>
      </w:r>
      <w:r>
        <w:rPr>
          <w:rFonts w:hint="eastAsia" w:ascii="微软雅黑" w:hAnsi="微软雅黑" w:eastAsia="微软雅黑" w:cs="宋体"/>
          <w:b/>
          <w:color w:val="000000"/>
          <w:sz w:val="24"/>
          <w:lang w:val="en-US" w:eastAsia="zh-CN"/>
        </w:rPr>
        <w:t>磋商小组</w:t>
      </w:r>
    </w:p>
    <w:p>
      <w:pPr>
        <w:spacing w:line="360" w:lineRule="auto"/>
        <w:ind w:firstLine="480" w:firstLineChars="200"/>
        <w:rPr>
          <w:rFonts w:hint="eastAsia" w:ascii="微软雅黑" w:hAnsi="微软雅黑" w:eastAsia="微软雅黑" w:cs="宋体"/>
          <w:b/>
          <w:color w:val="000000"/>
          <w:sz w:val="24"/>
          <w:lang w:val="en-US" w:eastAsia="zh-CN"/>
        </w:rPr>
      </w:pPr>
      <w:r>
        <w:rPr>
          <w:rFonts w:hint="eastAsia" w:ascii="微软雅黑" w:hAnsi="微软雅黑" w:eastAsia="微软雅黑" w:cs="宋体"/>
          <w:color w:val="000000"/>
          <w:sz w:val="24"/>
        </w:rPr>
        <w:t>磋商小组</w:t>
      </w:r>
      <w:r>
        <w:rPr>
          <w:rFonts w:hint="eastAsia" w:ascii="微软雅黑" w:hAnsi="微软雅黑" w:eastAsia="微软雅黑" w:cs="宋体"/>
          <w:color w:val="000000"/>
          <w:sz w:val="24"/>
          <w:lang w:val="en-US" w:eastAsia="zh-CN"/>
        </w:rPr>
        <w:t>由5人组成，其中专家3人，采购代表2人，组长由组员推荐产生。</w:t>
      </w:r>
    </w:p>
    <w:p>
      <w:pPr>
        <w:spacing w:line="360" w:lineRule="auto"/>
        <w:ind w:firstLine="480" w:firstLineChars="200"/>
        <w:rPr>
          <w:rFonts w:hint="eastAsia" w:ascii="微软雅黑" w:hAnsi="微软雅黑" w:eastAsia="微软雅黑" w:cs="宋体"/>
          <w:b/>
          <w:color w:val="000000"/>
          <w:sz w:val="24"/>
        </w:rPr>
      </w:pPr>
      <w:r>
        <w:rPr>
          <w:rFonts w:hint="eastAsia" w:ascii="微软雅黑" w:hAnsi="微软雅黑" w:eastAsia="微软雅黑" w:cs="宋体"/>
          <w:b/>
          <w:color w:val="000000"/>
          <w:sz w:val="24"/>
          <w:lang w:val="en-US" w:eastAsia="zh-CN"/>
        </w:rPr>
        <w:t>二、</w:t>
      </w:r>
      <w:r>
        <w:rPr>
          <w:rFonts w:hint="eastAsia" w:ascii="微软雅黑" w:hAnsi="微软雅黑" w:eastAsia="微软雅黑" w:cs="宋体"/>
          <w:b/>
          <w:color w:val="000000"/>
          <w:sz w:val="24"/>
        </w:rPr>
        <w:t>资格性审查</w:t>
      </w:r>
    </w:p>
    <w:p>
      <w:pPr>
        <w:spacing w:line="360" w:lineRule="auto"/>
        <w:ind w:firstLine="480" w:firstLineChars="200"/>
        <w:rPr>
          <w:rFonts w:hint="eastAsia" w:ascii="微软雅黑" w:hAnsi="微软雅黑" w:eastAsia="微软雅黑" w:cs="宋体"/>
          <w:color w:val="000000"/>
          <w:sz w:val="24"/>
        </w:rPr>
      </w:pPr>
      <w:r>
        <w:rPr>
          <w:rFonts w:hint="eastAsia" w:ascii="微软雅黑" w:hAnsi="微软雅黑" w:eastAsia="微软雅黑" w:cs="宋体"/>
          <w:color w:val="000000"/>
          <w:sz w:val="24"/>
        </w:rPr>
        <w:t>（一）磋商活动开始后，由磋商小组依据法律法规和本磋商文件的规定，对</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是否按照</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文件的规定提供资格性证明材料以及提供的资格证明材料是否符合规定等进行审查，以确定</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供应商是否具备磋商资格。</w:t>
      </w:r>
    </w:p>
    <w:p>
      <w:pPr>
        <w:spacing w:line="360" w:lineRule="auto"/>
        <w:ind w:firstLine="480" w:firstLineChars="200"/>
        <w:rPr>
          <w:rFonts w:hint="eastAsia" w:ascii="微软雅黑" w:hAnsi="微软雅黑" w:eastAsia="微软雅黑" w:cs="宋体"/>
          <w:color w:val="000000"/>
          <w:sz w:val="24"/>
        </w:rPr>
      </w:pPr>
      <w:r>
        <w:rPr>
          <w:rFonts w:hint="eastAsia" w:ascii="微软雅黑" w:hAnsi="微软雅黑" w:eastAsia="微软雅黑" w:cs="宋体"/>
          <w:color w:val="000000"/>
          <w:sz w:val="24"/>
        </w:rPr>
        <w:t>（二）供应商资格审查应以有关法律、法规和</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文件为依据，审查范围不能超过法律法规和</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文件中供应商的资格条件要求。</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lang w:eastAsia="zh-CN"/>
        </w:rPr>
        <w:t>申请人响应文件</w:t>
      </w:r>
      <w:r>
        <w:rPr>
          <w:rFonts w:hint="eastAsia" w:ascii="微软雅黑" w:hAnsi="微软雅黑" w:eastAsia="微软雅黑" w:cs="宋体"/>
          <w:color w:val="000000"/>
          <w:sz w:val="24"/>
        </w:rPr>
        <w:t>属于下列情况之一的，在资格性检查时按照无效</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处理：</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（1）未按照</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文件规定交纳</w:t>
      </w:r>
      <w:r>
        <w:rPr>
          <w:rFonts w:hint="eastAsia" w:ascii="微软雅黑" w:hAnsi="微软雅黑" w:eastAsia="微软雅黑" w:cs="宋体"/>
          <w:color w:val="000000"/>
          <w:sz w:val="24"/>
          <w:lang w:eastAsia="zh-CN"/>
        </w:rPr>
        <w:t>磋商</w:t>
      </w:r>
      <w:r>
        <w:rPr>
          <w:rFonts w:hint="eastAsia" w:ascii="微软雅黑" w:hAnsi="微软雅黑" w:eastAsia="微软雅黑" w:cs="宋体"/>
          <w:color w:val="000000"/>
          <w:sz w:val="24"/>
        </w:rPr>
        <w:t>保证金的；</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（2）未按照</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文件规定和要求密封、签署、盖章的；</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（3）未按照</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文件规定的格式要求编制，且影响</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的资格性的；</w:t>
      </w:r>
    </w:p>
    <w:p>
      <w:pPr>
        <w:spacing w:line="360" w:lineRule="auto"/>
        <w:ind w:firstLine="480" w:firstLineChars="200"/>
        <w:rPr>
          <w:rFonts w:hint="eastAsia" w:ascii="微软雅黑" w:hAnsi="微软雅黑" w:eastAsia="微软雅黑" w:cs="宋体"/>
          <w:color w:val="000000"/>
          <w:sz w:val="24"/>
        </w:rPr>
      </w:pPr>
      <w:r>
        <w:rPr>
          <w:rFonts w:hint="eastAsia" w:ascii="微软雅黑" w:hAnsi="微软雅黑" w:eastAsia="微软雅黑" w:cs="宋体"/>
          <w:color w:val="000000"/>
          <w:sz w:val="24"/>
        </w:rPr>
        <w:t>（三）磋商小组应当将通过资格审查和未通过资格审查的供应商名单向所有递交</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的供应商当场宣布，并告知未通过资格审查的供应商未通过资格审查的原因，但涉及商业秘密的除外。</w:t>
      </w:r>
    </w:p>
    <w:p>
      <w:pPr>
        <w:widowControl/>
        <w:shd w:val="clear" w:color="auto" w:fill="FFFFFF"/>
        <w:spacing w:line="360" w:lineRule="auto"/>
        <w:ind w:firstLine="480" w:firstLineChars="200"/>
        <w:jc w:val="left"/>
        <w:rPr>
          <w:rFonts w:hint="eastAsia" w:ascii="微软雅黑" w:hAnsi="微软雅黑" w:eastAsia="微软雅黑" w:cs="宋体"/>
          <w:color w:val="000000"/>
          <w:sz w:val="24"/>
        </w:rPr>
      </w:pPr>
      <w:r>
        <w:rPr>
          <w:rFonts w:hint="eastAsia" w:ascii="微软雅黑" w:hAnsi="微软雅黑" w:eastAsia="微软雅黑" w:cs="宋体"/>
          <w:color w:val="000000"/>
          <w:sz w:val="24"/>
        </w:rPr>
        <w:t>（四）递交</w:t>
      </w:r>
      <w:r>
        <w:rPr>
          <w:rFonts w:hint="eastAsia" w:ascii="微软雅黑" w:hAnsi="微软雅黑" w:eastAsia="微软雅黑" w:cs="宋体"/>
          <w:color w:val="000000"/>
          <w:sz w:val="24"/>
          <w:lang w:eastAsia="zh-CN"/>
        </w:rPr>
        <w:t>响应文件</w:t>
      </w:r>
      <w:r>
        <w:rPr>
          <w:rFonts w:hint="eastAsia" w:ascii="微软雅黑" w:hAnsi="微软雅黑" w:eastAsia="微软雅黑" w:cs="宋体"/>
          <w:color w:val="000000"/>
          <w:sz w:val="24"/>
        </w:rPr>
        <w:t>的供应商不足3家或者通过资格审查的供应商不足</w:t>
      </w:r>
      <w:r>
        <w:rPr>
          <w:rFonts w:hint="eastAsia" w:ascii="微软雅黑" w:hAnsi="微软雅黑" w:eastAsia="微软雅黑" w:cs="宋体"/>
          <w:color w:val="000000"/>
          <w:sz w:val="24"/>
          <w:lang w:val="en-US" w:eastAsia="zh-CN"/>
        </w:rPr>
        <w:t>2</w:t>
      </w:r>
      <w:r>
        <w:rPr>
          <w:rFonts w:hint="eastAsia" w:ascii="微软雅黑" w:hAnsi="微软雅黑" w:eastAsia="微软雅黑" w:cs="宋体"/>
          <w:color w:val="000000"/>
          <w:sz w:val="24"/>
        </w:rPr>
        <w:t>家的，本次磋商采购活动终止。</w:t>
      </w:r>
    </w:p>
    <w:p>
      <w:pPr>
        <w:spacing w:line="360" w:lineRule="auto"/>
        <w:ind w:firstLine="480" w:firstLineChars="200"/>
        <w:rPr>
          <w:rFonts w:hint="eastAsia" w:ascii="微软雅黑" w:hAnsi="微软雅黑" w:eastAsia="微软雅黑" w:cs="宋体"/>
          <w:b/>
          <w:color w:val="000000"/>
          <w:sz w:val="24"/>
        </w:rPr>
      </w:pPr>
      <w:r>
        <w:rPr>
          <w:rFonts w:hint="eastAsia" w:ascii="微软雅黑" w:hAnsi="微软雅黑" w:eastAsia="微软雅黑" w:cs="宋体"/>
          <w:b/>
          <w:color w:val="000000"/>
          <w:sz w:val="24"/>
          <w:lang w:val="en-US" w:eastAsia="zh-CN"/>
        </w:rPr>
        <w:t>三</w:t>
      </w:r>
      <w:r>
        <w:rPr>
          <w:rFonts w:hint="eastAsia" w:ascii="微软雅黑" w:hAnsi="微软雅黑" w:eastAsia="微软雅黑" w:cs="宋体"/>
          <w:b/>
          <w:color w:val="000000"/>
          <w:sz w:val="24"/>
        </w:rPr>
        <w:t>、组织磋商</w:t>
      </w:r>
    </w:p>
    <w:p>
      <w:pPr>
        <w:spacing w:line="360" w:lineRule="auto"/>
        <w:ind w:firstLine="480" w:firstLineChars="200"/>
        <w:rPr>
          <w:rFonts w:hint="eastAsia" w:ascii="微软雅黑" w:hAnsi="微软雅黑" w:eastAsia="微软雅黑" w:cs="宋体"/>
          <w:color w:val="000000"/>
          <w:sz w:val="24"/>
        </w:rPr>
      </w:pPr>
      <w:r>
        <w:rPr>
          <w:rFonts w:hint="eastAsia" w:ascii="微软雅黑" w:hAnsi="微软雅黑" w:eastAsia="微软雅黑" w:cs="宋体"/>
          <w:color w:val="000000"/>
          <w:sz w:val="24"/>
          <w:lang w:val="en-US" w:eastAsia="zh-CN"/>
        </w:rPr>
        <w:t>磋商小组</w:t>
      </w:r>
      <w:r>
        <w:rPr>
          <w:rFonts w:hint="eastAsia" w:ascii="微软雅黑" w:hAnsi="微软雅黑" w:eastAsia="微软雅黑" w:cs="宋体"/>
          <w:color w:val="000000"/>
          <w:sz w:val="24"/>
        </w:rPr>
        <w:t>按照</w:t>
      </w:r>
      <w:r>
        <w:rPr>
          <w:rFonts w:hint="eastAsia" w:ascii="微软雅黑" w:hAnsi="微软雅黑" w:eastAsia="微软雅黑" w:cs="宋体"/>
          <w:color w:val="000000"/>
          <w:sz w:val="24"/>
          <w:lang w:eastAsia="zh-CN"/>
        </w:rPr>
        <w:t>采购</w:t>
      </w:r>
      <w:r>
        <w:rPr>
          <w:rFonts w:hint="eastAsia" w:ascii="微软雅黑" w:hAnsi="微软雅黑" w:eastAsia="微软雅黑" w:cs="宋体"/>
          <w:color w:val="000000"/>
          <w:sz w:val="24"/>
        </w:rPr>
        <w:t>文件的规定与通过资格审查的供应商逐一进行磋商。</w:t>
      </w:r>
      <w:r>
        <w:rPr>
          <w:rFonts w:hint="eastAsia" w:ascii="微软雅黑" w:hAnsi="微软雅黑" w:eastAsia="微软雅黑" w:cs="宋体"/>
          <w:color w:val="FF0000"/>
          <w:sz w:val="24"/>
          <w:lang w:val="en-US" w:eastAsia="zh-CN"/>
        </w:rPr>
        <w:t>供应商除法定代表人或委托代理人外，还可以派专业技术人员参加磋商。</w:t>
      </w:r>
    </w:p>
    <w:p>
      <w:pPr>
        <w:spacing w:line="360" w:lineRule="auto"/>
        <w:ind w:firstLine="480" w:firstLineChars="200"/>
        <w:rPr>
          <w:rFonts w:hint="eastAsia" w:ascii="微软雅黑" w:hAnsi="微软雅黑" w:eastAsia="微软雅黑" w:cs="宋体"/>
          <w:color w:val="000000"/>
          <w:sz w:val="24"/>
        </w:rPr>
      </w:pPr>
      <w:r>
        <w:rPr>
          <w:rFonts w:hint="eastAsia" w:ascii="微软雅黑" w:hAnsi="微软雅黑" w:eastAsia="微软雅黑" w:cs="宋体"/>
          <w:color w:val="000000"/>
          <w:sz w:val="24"/>
        </w:rPr>
        <w:t>1.磋商过程中，磋商小组可以根据磋商情况调整轮次，一般为1-2轮。</w:t>
      </w:r>
    </w:p>
    <w:p>
      <w:pPr>
        <w:spacing w:line="360" w:lineRule="auto"/>
        <w:ind w:firstLine="480" w:firstLineChars="200"/>
        <w:rPr>
          <w:rFonts w:hint="eastAsia" w:ascii="微软雅黑" w:hAnsi="微软雅黑" w:eastAsia="微软雅黑" w:cs="宋体"/>
          <w:color w:val="000000"/>
          <w:sz w:val="24"/>
        </w:rPr>
      </w:pPr>
      <w:r>
        <w:rPr>
          <w:rFonts w:hint="eastAsia" w:ascii="微软雅黑" w:hAnsi="微软雅黑" w:eastAsia="微软雅黑" w:cs="宋体"/>
          <w:color w:val="000000"/>
          <w:sz w:val="24"/>
        </w:rPr>
        <w:t>2.</w:t>
      </w:r>
      <w:r>
        <w:rPr>
          <w:rFonts w:ascii="微软雅黑" w:hAnsi="微软雅黑" w:eastAsia="微软雅黑" w:cs="宋体"/>
          <w:color w:val="000000"/>
          <w:sz w:val="24"/>
        </w:rPr>
        <w:t>在磋商过程中，磋商小组可以根据</w:t>
      </w:r>
      <w:r>
        <w:rPr>
          <w:rFonts w:hint="eastAsia" w:ascii="微软雅黑" w:hAnsi="微软雅黑" w:eastAsia="微软雅黑" w:cs="宋体"/>
          <w:color w:val="000000"/>
          <w:sz w:val="24"/>
          <w:lang w:eastAsia="zh-CN"/>
        </w:rPr>
        <w:t>采购</w:t>
      </w:r>
      <w:r>
        <w:rPr>
          <w:rFonts w:ascii="微软雅黑" w:hAnsi="微软雅黑" w:eastAsia="微软雅黑" w:cs="宋体"/>
          <w:color w:val="000000"/>
          <w:sz w:val="24"/>
        </w:rPr>
        <w:t>文件和磋商情况实质性变动采购需求中的</w:t>
      </w:r>
      <w:r>
        <w:rPr>
          <w:rFonts w:hint="eastAsia" w:ascii="微软雅黑" w:hAnsi="微软雅黑" w:eastAsia="微软雅黑" w:cs="宋体"/>
          <w:color w:val="000000"/>
          <w:sz w:val="24"/>
        </w:rPr>
        <w:t>技术</w:t>
      </w:r>
      <w:r>
        <w:rPr>
          <w:rFonts w:ascii="微软雅黑" w:hAnsi="微软雅黑" w:eastAsia="微软雅黑" w:cs="宋体"/>
          <w:color w:val="000000"/>
          <w:sz w:val="24"/>
        </w:rPr>
        <w:t>要求，但不得变动</w:t>
      </w:r>
      <w:r>
        <w:rPr>
          <w:rFonts w:hint="eastAsia" w:ascii="微软雅黑" w:hAnsi="微软雅黑" w:eastAsia="微软雅黑" w:cs="宋体"/>
          <w:color w:val="000000"/>
          <w:sz w:val="24"/>
          <w:lang w:eastAsia="zh-CN"/>
        </w:rPr>
        <w:t>采购</w:t>
      </w:r>
      <w:r>
        <w:rPr>
          <w:rFonts w:ascii="微软雅黑" w:hAnsi="微软雅黑" w:eastAsia="微软雅黑" w:cs="宋体"/>
          <w:color w:val="000000"/>
          <w:sz w:val="24"/>
        </w:rPr>
        <w:t>文件中的其他内容。</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3.</w:t>
      </w:r>
      <w:r>
        <w:rPr>
          <w:rFonts w:ascii="微软雅黑" w:hAnsi="微软雅黑" w:eastAsia="微软雅黑" w:cs="宋体"/>
          <w:color w:val="000000"/>
          <w:sz w:val="24"/>
        </w:rPr>
        <w:t>磋商结束后，磋商小组应当要求所有</w:t>
      </w:r>
      <w:r>
        <w:rPr>
          <w:rFonts w:hint="eastAsia" w:ascii="微软雅黑" w:hAnsi="微软雅黑" w:eastAsia="微软雅黑" w:cs="宋体"/>
          <w:color w:val="000000"/>
          <w:sz w:val="24"/>
        </w:rPr>
        <w:t>实质性响应</w:t>
      </w:r>
      <w:r>
        <w:rPr>
          <w:rFonts w:ascii="微软雅黑" w:hAnsi="微软雅黑" w:eastAsia="微软雅黑" w:cs="宋体"/>
          <w:color w:val="000000"/>
          <w:sz w:val="24"/>
        </w:rPr>
        <w:t>的供应商在规定时间内提交最</w:t>
      </w:r>
      <w:r>
        <w:rPr>
          <w:rFonts w:hint="eastAsia" w:ascii="微软雅黑" w:hAnsi="微软雅黑" w:eastAsia="微软雅黑" w:cs="宋体"/>
          <w:color w:val="000000"/>
          <w:sz w:val="24"/>
          <w:lang w:val="en-US" w:eastAsia="zh-CN"/>
        </w:rPr>
        <w:t>终</w:t>
      </w:r>
      <w:r>
        <w:rPr>
          <w:rFonts w:ascii="微软雅黑" w:hAnsi="微软雅黑" w:eastAsia="微软雅黑" w:cs="宋体"/>
          <w:color w:val="000000"/>
          <w:sz w:val="24"/>
        </w:rPr>
        <w:t>报价</w:t>
      </w:r>
      <w:r>
        <w:rPr>
          <w:rFonts w:hint="eastAsia" w:ascii="微软雅黑" w:hAnsi="微软雅黑" w:eastAsia="微软雅黑" w:cs="宋体"/>
          <w:color w:val="000000"/>
          <w:sz w:val="24"/>
          <w:lang w:eastAsia="zh-CN"/>
        </w:rPr>
        <w:t>。</w:t>
      </w:r>
      <w:r>
        <w:rPr>
          <w:rFonts w:hint="eastAsia" w:ascii="微软雅黑" w:hAnsi="微软雅黑" w:eastAsia="微软雅黑" w:cs="宋体"/>
          <w:b/>
          <w:bCs/>
          <w:color w:val="000000"/>
          <w:sz w:val="24"/>
          <w:lang w:val="en-US" w:eastAsia="zh-CN"/>
        </w:rPr>
        <w:t>最终报价表格由申请人准备空白表格并加盖公章，现场填写</w:t>
      </w:r>
      <w:r>
        <w:rPr>
          <w:rFonts w:ascii="微软雅黑" w:hAnsi="微软雅黑" w:eastAsia="微软雅黑" w:cs="宋体"/>
          <w:b/>
          <w:bCs/>
          <w:color w:val="000000"/>
          <w:sz w:val="24"/>
        </w:rPr>
        <w:t>。</w:t>
      </w:r>
      <w:r>
        <w:rPr>
          <w:rFonts w:hint="eastAsia" w:ascii="微软雅黑" w:hAnsi="微软雅黑" w:eastAsia="微软雅黑" w:cs="宋体"/>
          <w:b/>
          <w:bCs/>
          <w:color w:val="000000"/>
          <w:sz w:val="24"/>
          <w:lang w:val="en-US" w:eastAsia="zh-CN"/>
        </w:rPr>
        <w:t>最终报价不得高于首次报价，否则作无效处理。最终报价不报分项报价明细表，签订合同时按总价浮动比例调整响应文件中的分项报价明细表。</w:t>
      </w:r>
    </w:p>
    <w:p>
      <w:pPr>
        <w:spacing w:line="360" w:lineRule="auto"/>
        <w:ind w:firstLine="480" w:firstLineChars="200"/>
        <w:rPr>
          <w:rFonts w:hint="eastAsia" w:ascii="微软雅黑" w:hAnsi="微软雅黑" w:eastAsia="微软雅黑" w:cs="宋体"/>
          <w:b/>
          <w:color w:val="000000"/>
          <w:sz w:val="24"/>
        </w:rPr>
      </w:pPr>
      <w:r>
        <w:rPr>
          <w:rFonts w:hint="eastAsia" w:ascii="微软雅黑" w:hAnsi="微软雅黑" w:eastAsia="微软雅黑" w:cs="宋体"/>
          <w:b/>
          <w:color w:val="000000"/>
          <w:sz w:val="24"/>
          <w:lang w:val="en-US" w:eastAsia="zh-CN"/>
        </w:rPr>
        <w:t>四</w:t>
      </w:r>
      <w:r>
        <w:rPr>
          <w:rFonts w:hint="eastAsia" w:ascii="微软雅黑" w:hAnsi="微软雅黑" w:eastAsia="微软雅黑" w:cs="宋体"/>
          <w:b/>
          <w:color w:val="000000"/>
          <w:sz w:val="24"/>
        </w:rPr>
        <w:t>、最</w:t>
      </w:r>
      <w:r>
        <w:rPr>
          <w:rFonts w:hint="eastAsia" w:ascii="微软雅黑" w:hAnsi="微软雅黑" w:eastAsia="微软雅黑" w:cs="宋体"/>
          <w:b/>
          <w:color w:val="000000"/>
          <w:sz w:val="24"/>
          <w:lang w:val="en-US" w:eastAsia="zh-CN"/>
        </w:rPr>
        <w:t>终</w:t>
      </w:r>
      <w:r>
        <w:rPr>
          <w:rFonts w:hint="eastAsia" w:ascii="微软雅黑" w:hAnsi="微软雅黑" w:eastAsia="微软雅黑" w:cs="宋体"/>
          <w:b/>
          <w:color w:val="000000"/>
          <w:sz w:val="24"/>
        </w:rPr>
        <w:t>报价</w:t>
      </w:r>
    </w:p>
    <w:p>
      <w:pPr>
        <w:adjustRightInd w:val="0"/>
        <w:spacing w:line="360" w:lineRule="auto"/>
        <w:ind w:firstLine="480" w:firstLineChars="200"/>
        <w:rPr>
          <w:rFonts w:hint="eastAsia" w:ascii="微软雅黑" w:hAnsi="微软雅黑" w:eastAsia="微软雅黑" w:cs="宋体"/>
          <w:color w:val="000000"/>
          <w:sz w:val="24"/>
        </w:rPr>
      </w:pPr>
      <w:r>
        <w:rPr>
          <w:rFonts w:hint="eastAsia" w:ascii="微软雅黑" w:hAnsi="微软雅黑" w:eastAsia="微软雅黑" w:cs="宋体"/>
          <w:color w:val="000000"/>
          <w:sz w:val="24"/>
        </w:rPr>
        <w:t>1.供应商的报价是供应商响应采购项目要求的全部工作内容的价格体现，包括供应商完成本项目所需的一切费用（包括并不限于第一年的服务器租赁费、域名相关费用等）；</w:t>
      </w:r>
    </w:p>
    <w:p>
      <w:pPr>
        <w:adjustRightInd w:val="0"/>
        <w:spacing w:line="360" w:lineRule="auto"/>
        <w:ind w:firstLine="480" w:firstLineChars="200"/>
        <w:rPr>
          <w:rFonts w:hint="eastAsia" w:ascii="微软雅黑" w:hAnsi="微软雅黑" w:eastAsia="微软雅黑" w:cs="宋体"/>
          <w:color w:val="000000"/>
          <w:sz w:val="24"/>
        </w:rPr>
      </w:pPr>
      <w:r>
        <w:rPr>
          <w:rFonts w:hint="eastAsia" w:ascii="微软雅黑" w:hAnsi="微软雅黑" w:eastAsia="微软雅黑" w:cs="宋体"/>
          <w:color w:val="000000"/>
          <w:sz w:val="24"/>
        </w:rPr>
        <w:t>2.供应商每种货物只允许有一个报价，并且在合同履行过程中是固定不变的；</w:t>
      </w:r>
    </w:p>
    <w:p>
      <w:pPr>
        <w:adjustRightInd w:val="0"/>
        <w:spacing w:line="360" w:lineRule="auto"/>
        <w:ind w:firstLine="480" w:firstLineChars="200"/>
        <w:rPr>
          <w:rFonts w:hint="eastAsia" w:ascii="微软雅黑" w:hAnsi="微软雅黑" w:eastAsia="微软雅黑" w:cs="宋体"/>
          <w:color w:val="000000"/>
          <w:sz w:val="24"/>
        </w:rPr>
      </w:pPr>
      <w:r>
        <w:rPr>
          <w:rFonts w:hint="eastAsia" w:ascii="微软雅黑" w:hAnsi="微软雅黑" w:eastAsia="微软雅黑" w:cs="宋体"/>
          <w:color w:val="000000"/>
          <w:sz w:val="24"/>
        </w:rPr>
        <w:t>3.总价金额与按单价汇总金额不一致的，以单价金额计算结果为准。单价金额小数点有明显错位的，应以总价为准，并修改单价。大写金额与小写金额不一致的，以大写金额为准。</w:t>
      </w:r>
    </w:p>
    <w:p>
      <w:pPr>
        <w:adjustRightInd w:val="0"/>
        <w:spacing w:line="360" w:lineRule="auto"/>
        <w:ind w:firstLine="480" w:firstLineChars="200"/>
        <w:rPr>
          <w:rFonts w:hint="eastAsia" w:ascii="宋体" w:hAnsi="宋体"/>
          <w:bCs/>
          <w:color w:val="000000"/>
          <w:spacing w:val="8"/>
          <w:sz w:val="24"/>
        </w:rPr>
      </w:pPr>
      <w:r>
        <w:rPr>
          <w:rFonts w:hint="eastAsia" w:ascii="微软雅黑" w:hAnsi="微软雅黑" w:eastAsia="微软雅黑" w:cs="宋体"/>
          <w:color w:val="000000"/>
          <w:sz w:val="24"/>
        </w:rPr>
        <w:t>4.</w:t>
      </w:r>
      <w:r>
        <w:rPr>
          <w:rFonts w:ascii="微软雅黑" w:hAnsi="微软雅黑" w:eastAsia="微软雅黑" w:cs="宋体"/>
          <w:color w:val="000000"/>
          <w:sz w:val="24"/>
        </w:rPr>
        <w:t>最后报价是供应商</w:t>
      </w:r>
      <w:r>
        <w:rPr>
          <w:rFonts w:hint="eastAsia" w:ascii="微软雅黑" w:hAnsi="微软雅黑" w:eastAsia="微软雅黑" w:cs="宋体"/>
          <w:color w:val="000000"/>
          <w:sz w:val="24"/>
          <w:lang w:eastAsia="zh-CN"/>
        </w:rPr>
        <w:t>响应文件</w:t>
      </w:r>
      <w:r>
        <w:rPr>
          <w:rFonts w:ascii="微软雅黑" w:hAnsi="微软雅黑" w:eastAsia="微软雅黑" w:cs="宋体"/>
          <w:color w:val="000000"/>
          <w:sz w:val="24"/>
        </w:rPr>
        <w:t>的有效组成部分。</w:t>
      </w:r>
    </w:p>
    <w:p>
      <w:pPr>
        <w:spacing w:line="360" w:lineRule="auto"/>
        <w:ind w:firstLine="480" w:firstLineChars="200"/>
        <w:rPr>
          <w:rFonts w:hint="eastAsia" w:ascii="微软雅黑" w:hAnsi="微软雅黑" w:eastAsia="微软雅黑" w:cs="宋体"/>
          <w:b/>
          <w:color w:val="000000"/>
          <w:sz w:val="24"/>
        </w:rPr>
      </w:pPr>
      <w:r>
        <w:rPr>
          <w:rFonts w:hint="eastAsia" w:ascii="微软雅黑" w:hAnsi="微软雅黑" w:eastAsia="微软雅黑" w:cs="宋体"/>
          <w:b/>
          <w:color w:val="000000"/>
          <w:sz w:val="24"/>
          <w:lang w:val="en-US" w:eastAsia="zh-CN"/>
        </w:rPr>
        <w:t>五</w:t>
      </w:r>
      <w:r>
        <w:rPr>
          <w:rFonts w:hint="eastAsia" w:ascii="微软雅黑" w:hAnsi="微软雅黑" w:eastAsia="微软雅黑" w:cs="宋体"/>
          <w:b/>
          <w:color w:val="000000"/>
          <w:sz w:val="24"/>
        </w:rPr>
        <w:t>、评</w:t>
      </w:r>
      <w:r>
        <w:rPr>
          <w:rFonts w:hint="eastAsia" w:ascii="微软雅黑" w:hAnsi="微软雅黑" w:eastAsia="微软雅黑" w:cs="宋体"/>
          <w:b/>
          <w:color w:val="000000"/>
          <w:sz w:val="24"/>
          <w:lang w:val="en-US" w:eastAsia="zh-CN"/>
        </w:rPr>
        <w:t>审</w:t>
      </w:r>
      <w:r>
        <w:rPr>
          <w:rFonts w:hint="eastAsia" w:ascii="微软雅黑" w:hAnsi="微软雅黑" w:eastAsia="微软雅黑" w:cs="宋体"/>
          <w:b/>
          <w:color w:val="000000"/>
          <w:sz w:val="24"/>
        </w:rPr>
        <w:t>标准</w:t>
      </w:r>
    </w:p>
    <w:bookmarkEnd w:id="86"/>
    <w:bookmarkEnd w:id="87"/>
    <w:bookmarkEnd w:id="88"/>
    <w:bookmarkEnd w:id="89"/>
    <w:p>
      <w:pPr>
        <w:spacing w:line="360" w:lineRule="auto"/>
        <w:ind w:firstLine="480" w:firstLineChars="200"/>
        <w:rPr>
          <w:rFonts w:hint="eastAsia" w:ascii="微软雅黑" w:hAnsi="微软雅黑" w:eastAsia="微软雅黑" w:cs="宋体"/>
          <w:color w:val="000000"/>
          <w:sz w:val="24"/>
        </w:rPr>
      </w:pPr>
      <w:bookmarkStart w:id="147" w:name="_Toc217446098"/>
      <w:r>
        <w:rPr>
          <w:rFonts w:hint="eastAsia" w:ascii="微软雅黑" w:hAnsi="微软雅黑" w:eastAsia="微软雅黑" w:cs="宋体"/>
          <w:color w:val="000000"/>
          <w:sz w:val="24"/>
        </w:rPr>
        <w:t>1.本项目评标方法为：综合评分法。</w:t>
      </w:r>
    </w:p>
    <w:p>
      <w:pPr>
        <w:spacing w:line="360" w:lineRule="auto"/>
        <w:ind w:firstLine="480" w:firstLineChars="200"/>
        <w:rPr>
          <w:rFonts w:hint="eastAsia" w:ascii="微软雅黑" w:hAnsi="微软雅黑" w:eastAsia="微软雅黑" w:cs="宋体"/>
          <w:color w:val="000000"/>
          <w:sz w:val="24"/>
          <w:lang w:val="en-US" w:eastAsia="zh-CN"/>
        </w:rPr>
      </w:pPr>
      <w:r>
        <w:rPr>
          <w:rFonts w:hint="eastAsia" w:ascii="微软雅黑" w:hAnsi="微软雅黑" w:eastAsia="微软雅黑" w:cs="宋体"/>
          <w:color w:val="000000"/>
          <w:sz w:val="24"/>
          <w:lang w:val="en-US" w:eastAsia="zh-CN"/>
        </w:rPr>
        <w:t>2.磋商小组依据得分高低按排名推荐1-3名成交候选人。</w:t>
      </w:r>
    </w:p>
    <w:p>
      <w:pPr>
        <w:spacing w:line="360" w:lineRule="auto"/>
        <w:ind w:firstLine="480" w:firstLineChars="200"/>
        <w:rPr>
          <w:rFonts w:hint="eastAsia" w:ascii="微软雅黑" w:hAnsi="微软雅黑" w:eastAsia="微软雅黑" w:cs="宋体"/>
          <w:bCs/>
          <w:color w:val="000000"/>
          <w:sz w:val="24"/>
        </w:rPr>
      </w:pPr>
      <w:r>
        <w:rPr>
          <w:rFonts w:hint="eastAsia" w:ascii="微软雅黑" w:hAnsi="微软雅黑" w:eastAsia="微软雅黑" w:cs="宋体"/>
          <w:color w:val="000000"/>
          <w:sz w:val="24"/>
          <w:lang w:val="en-US" w:eastAsia="zh-CN"/>
        </w:rPr>
        <w:t>3</w:t>
      </w:r>
      <w:r>
        <w:rPr>
          <w:rFonts w:hint="eastAsia" w:ascii="微软雅黑" w:hAnsi="微软雅黑" w:eastAsia="微软雅黑" w:cs="宋体"/>
          <w:color w:val="000000"/>
          <w:sz w:val="24"/>
        </w:rPr>
        <w:t>.</w:t>
      </w:r>
      <w:r>
        <w:rPr>
          <w:rFonts w:hint="eastAsia" w:ascii="微软雅黑" w:hAnsi="微软雅黑" w:eastAsia="微软雅黑" w:cs="宋体"/>
          <w:bCs/>
          <w:color w:val="000000"/>
          <w:sz w:val="24"/>
        </w:rPr>
        <w:t>评标细则及标准</w:t>
      </w:r>
      <w:bookmarkEnd w:id="147"/>
      <w:bookmarkStart w:id="148" w:name="_Toc217446099"/>
    </w:p>
    <w:p>
      <w:pPr>
        <w:spacing w:line="360" w:lineRule="auto"/>
        <w:ind w:firstLine="480" w:firstLineChars="200"/>
        <w:rPr>
          <w:rFonts w:hint="eastAsia" w:ascii="微软雅黑" w:hAnsi="微软雅黑" w:eastAsia="微软雅黑" w:cs="宋体"/>
          <w:bCs/>
          <w:color w:val="000000"/>
          <w:sz w:val="24"/>
        </w:rPr>
      </w:pPr>
      <w:r>
        <w:rPr>
          <w:rFonts w:hint="eastAsia" w:ascii="微软雅黑" w:hAnsi="微软雅黑" w:eastAsia="微软雅黑" w:cs="宋体"/>
          <w:bCs/>
          <w:color w:val="000000"/>
          <w:sz w:val="24"/>
        </w:rPr>
        <w:br w:type="page"/>
      </w:r>
    </w:p>
    <w:tbl>
      <w:tblPr>
        <w:tblStyle w:val="23"/>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90"/>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440" w:type="dxa"/>
            <w:vAlign w:val="center"/>
          </w:tcPr>
          <w:p>
            <w:pPr>
              <w:widowControl/>
              <w:jc w:val="center"/>
              <w:rPr>
                <w:rFonts w:ascii="微软雅黑" w:hAnsi="微软雅黑" w:eastAsia="微软雅黑" w:cs="宋体"/>
                <w:b/>
                <w:color w:val="000000"/>
                <w:kern w:val="0"/>
                <w:sz w:val="24"/>
              </w:rPr>
            </w:pPr>
            <w:bookmarkStart w:id="149" w:name="_Toc217446059"/>
            <w:r>
              <w:rPr>
                <w:rFonts w:hint="eastAsia" w:ascii="微软雅黑" w:hAnsi="微软雅黑" w:eastAsia="微软雅黑" w:cs="宋体"/>
                <w:b/>
                <w:color w:val="000000"/>
                <w:kern w:val="0"/>
                <w:sz w:val="24"/>
              </w:rPr>
              <w:t>评分因素</w:t>
            </w:r>
          </w:p>
        </w:tc>
        <w:tc>
          <w:tcPr>
            <w:tcW w:w="1090" w:type="dxa"/>
            <w:vAlign w:val="center"/>
          </w:tcPr>
          <w:p>
            <w:pPr>
              <w:widowControl/>
              <w:ind w:left="210" w:leftChars="100"/>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分值</w:t>
            </w:r>
          </w:p>
        </w:tc>
        <w:tc>
          <w:tcPr>
            <w:tcW w:w="6826" w:type="dxa"/>
            <w:vAlign w:val="center"/>
          </w:tcPr>
          <w:p>
            <w:pPr>
              <w:widowControl/>
              <w:ind w:left="210" w:leftChars="100"/>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评定细则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8" w:hRule="atLeast"/>
        </w:trPr>
        <w:tc>
          <w:tcPr>
            <w:tcW w:w="1440" w:type="dxa"/>
            <w:vAlign w:val="center"/>
          </w:tcPr>
          <w:p>
            <w:pPr>
              <w:widowControl/>
              <w:jc w:val="center"/>
              <w:rPr>
                <w:rFonts w:ascii="微软雅黑" w:hAnsi="微软雅黑" w:eastAsia="微软雅黑" w:cs="宋体"/>
                <w:color w:val="000000"/>
                <w:kern w:val="0"/>
                <w:sz w:val="24"/>
              </w:rPr>
            </w:pPr>
            <w:r>
              <w:rPr>
                <w:rFonts w:hint="eastAsia" w:ascii="微软雅黑" w:hAnsi="微软雅黑" w:eastAsia="微软雅黑" w:cs="宋体"/>
                <w:color w:val="000000"/>
                <w:kern w:val="0"/>
                <w:sz w:val="24"/>
                <w:lang w:eastAsia="zh-CN"/>
              </w:rPr>
              <w:t>磋商</w:t>
            </w:r>
            <w:r>
              <w:rPr>
                <w:rFonts w:hint="eastAsia" w:ascii="微软雅黑" w:hAnsi="微软雅黑" w:eastAsia="微软雅黑" w:cs="宋体"/>
                <w:color w:val="000000"/>
                <w:kern w:val="0"/>
                <w:sz w:val="24"/>
              </w:rPr>
              <w:t>报价</w:t>
            </w:r>
          </w:p>
        </w:tc>
        <w:tc>
          <w:tcPr>
            <w:tcW w:w="1090" w:type="dxa"/>
            <w:vAlign w:val="center"/>
          </w:tcPr>
          <w:p>
            <w:pPr>
              <w:widowControl/>
              <w:jc w:val="center"/>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30分</w:t>
            </w:r>
          </w:p>
        </w:tc>
        <w:tc>
          <w:tcPr>
            <w:tcW w:w="6826" w:type="dxa"/>
          </w:tcPr>
          <w:p>
            <w:pPr>
              <w:rPr>
                <w:rFonts w:ascii="微软雅黑" w:hAnsi="微软雅黑" w:eastAsia="微软雅黑"/>
                <w:color w:val="000000"/>
                <w:szCs w:val="21"/>
              </w:rPr>
            </w:pPr>
            <w:r>
              <w:rPr>
                <w:rFonts w:hint="eastAsia" w:ascii="微软雅黑" w:hAnsi="微软雅黑" w:eastAsia="微软雅黑"/>
                <w:color w:val="000000"/>
                <w:szCs w:val="21"/>
              </w:rPr>
              <w:t>价格分统一采用低价优先法计算，即满足</w:t>
            </w:r>
            <w:r>
              <w:rPr>
                <w:rFonts w:hint="eastAsia" w:ascii="微软雅黑" w:hAnsi="微软雅黑" w:eastAsia="微软雅黑"/>
                <w:color w:val="000000"/>
                <w:szCs w:val="21"/>
                <w:lang w:eastAsia="zh-CN"/>
              </w:rPr>
              <w:t>采购</w:t>
            </w:r>
            <w:r>
              <w:rPr>
                <w:rFonts w:hint="eastAsia" w:ascii="微软雅黑" w:hAnsi="微软雅黑" w:eastAsia="微软雅黑"/>
                <w:color w:val="000000"/>
                <w:szCs w:val="21"/>
              </w:rPr>
              <w:t>文件要求且</w:t>
            </w:r>
            <w:r>
              <w:rPr>
                <w:rFonts w:hint="eastAsia" w:ascii="微软雅黑" w:hAnsi="微软雅黑" w:eastAsia="微软雅黑"/>
                <w:color w:val="000000"/>
                <w:szCs w:val="21"/>
                <w:lang w:eastAsia="zh-CN"/>
              </w:rPr>
              <w:t>磋商</w:t>
            </w:r>
            <w:r>
              <w:rPr>
                <w:rFonts w:hint="eastAsia" w:ascii="微软雅黑" w:hAnsi="微软雅黑" w:eastAsia="微软雅黑"/>
                <w:color w:val="000000"/>
                <w:szCs w:val="21"/>
              </w:rPr>
              <w:t>价格最低的</w:t>
            </w:r>
            <w:r>
              <w:rPr>
                <w:rFonts w:hint="eastAsia" w:ascii="微软雅黑" w:hAnsi="微软雅黑" w:eastAsia="微软雅黑"/>
                <w:color w:val="000000"/>
                <w:szCs w:val="21"/>
                <w:lang w:eastAsia="zh-CN"/>
              </w:rPr>
              <w:t>磋商</w:t>
            </w:r>
            <w:r>
              <w:rPr>
                <w:rFonts w:hint="eastAsia" w:ascii="微软雅黑" w:hAnsi="微软雅黑" w:eastAsia="微软雅黑"/>
                <w:color w:val="000000"/>
                <w:szCs w:val="21"/>
              </w:rPr>
              <w:t>报价为评标基准价，其价格分为满分。其他</w:t>
            </w:r>
            <w:r>
              <w:rPr>
                <w:rFonts w:hint="eastAsia" w:ascii="微软雅黑" w:hAnsi="微软雅黑" w:eastAsia="微软雅黑"/>
                <w:color w:val="000000"/>
                <w:szCs w:val="21"/>
                <w:lang w:eastAsia="zh-CN"/>
              </w:rPr>
              <w:t>申请人</w:t>
            </w:r>
            <w:r>
              <w:rPr>
                <w:rFonts w:hint="eastAsia" w:ascii="微软雅黑" w:hAnsi="微软雅黑" w:eastAsia="微软雅黑"/>
                <w:color w:val="000000"/>
                <w:szCs w:val="21"/>
              </w:rPr>
              <w:t>的价格分统一按照下列公式计算：</w:t>
            </w:r>
          </w:p>
          <w:p>
            <w:pPr>
              <w:widowControl/>
              <w:jc w:val="left"/>
              <w:rPr>
                <w:rFonts w:ascii="微软雅黑" w:hAnsi="微软雅黑" w:eastAsia="微软雅黑"/>
                <w:color w:val="000000"/>
                <w:szCs w:val="21"/>
              </w:rPr>
            </w:pPr>
            <w:r>
              <w:rPr>
                <w:rFonts w:hint="eastAsia" w:ascii="微软雅黑" w:hAnsi="微软雅黑" w:eastAsia="微软雅黑"/>
                <w:color w:val="000000"/>
                <w:szCs w:val="21"/>
                <w:lang w:eastAsia="zh-CN"/>
              </w:rPr>
              <w:t>磋商</w:t>
            </w:r>
            <w:r>
              <w:rPr>
                <w:rFonts w:hint="eastAsia" w:ascii="微软雅黑" w:hAnsi="微软雅黑" w:eastAsia="微软雅黑"/>
                <w:color w:val="000000"/>
                <w:szCs w:val="21"/>
              </w:rPr>
              <w:t>报价得分=(评标基准价／</w:t>
            </w:r>
            <w:r>
              <w:rPr>
                <w:rFonts w:hint="eastAsia" w:ascii="微软雅黑" w:hAnsi="微软雅黑" w:eastAsia="微软雅黑"/>
                <w:color w:val="000000"/>
                <w:szCs w:val="21"/>
                <w:lang w:eastAsia="zh-CN"/>
              </w:rPr>
              <w:t>磋商</w:t>
            </w:r>
            <w:r>
              <w:rPr>
                <w:rFonts w:hint="eastAsia" w:ascii="微软雅黑" w:hAnsi="微软雅黑" w:eastAsia="微软雅黑"/>
                <w:color w:val="000000"/>
                <w:szCs w:val="21"/>
              </w:rPr>
              <w:t>报价)×分值。</w:t>
            </w:r>
          </w:p>
          <w:p>
            <w:pPr>
              <w:widowControl/>
              <w:jc w:val="left"/>
              <w:rPr>
                <w:rFonts w:ascii="微软雅黑" w:hAnsi="微软雅黑" w:eastAsia="微软雅黑" w:cs="宋体"/>
                <w:color w:val="000000"/>
                <w:kern w:val="0"/>
                <w:szCs w:val="21"/>
              </w:rPr>
            </w:pPr>
            <w:r>
              <w:rPr>
                <w:rFonts w:hint="eastAsia" w:ascii="微软雅黑" w:hAnsi="微软雅黑" w:eastAsia="微软雅黑"/>
                <w:szCs w:val="21"/>
              </w:rPr>
              <w:t>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1" w:hRule="atLeast"/>
        </w:trPr>
        <w:tc>
          <w:tcPr>
            <w:tcW w:w="1440" w:type="dxa"/>
            <w:vAlign w:val="center"/>
          </w:tcPr>
          <w:p>
            <w:pPr>
              <w:widowControl/>
              <w:jc w:val="center"/>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技术功能</w:t>
            </w:r>
          </w:p>
        </w:tc>
        <w:tc>
          <w:tcPr>
            <w:tcW w:w="1090" w:type="dxa"/>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lang w:val="en-US" w:eastAsia="zh-CN"/>
              </w:rPr>
              <w:t>5</w:t>
            </w:r>
            <w:r>
              <w:rPr>
                <w:rFonts w:hint="eastAsia" w:ascii="微软雅黑" w:hAnsi="微软雅黑" w:eastAsia="微软雅黑" w:cs="宋体"/>
                <w:kern w:val="0"/>
                <w:sz w:val="24"/>
              </w:rPr>
              <w:t>0</w:t>
            </w:r>
            <w:r>
              <w:rPr>
                <w:rFonts w:hint="eastAsia" w:ascii="微软雅黑" w:hAnsi="微软雅黑" w:eastAsia="微软雅黑" w:cs="宋体"/>
                <w:color w:val="000000"/>
                <w:kern w:val="0"/>
                <w:sz w:val="24"/>
              </w:rPr>
              <w:t>分</w:t>
            </w:r>
          </w:p>
        </w:tc>
        <w:tc>
          <w:tcPr>
            <w:tcW w:w="6826" w:type="dxa"/>
          </w:tcPr>
          <w:p>
            <w:pPr>
              <w:adjustRightInd w:val="0"/>
              <w:spacing w:line="360" w:lineRule="auto"/>
              <w:jc w:val="left"/>
              <w:rPr>
                <w:rFonts w:ascii="微软雅黑" w:hAnsi="微软雅黑" w:eastAsia="微软雅黑"/>
                <w:color w:val="000000"/>
                <w:szCs w:val="21"/>
              </w:rPr>
            </w:pPr>
            <w:r>
              <w:rPr>
                <w:rFonts w:hint="eastAsia" w:ascii="微软雅黑" w:hAnsi="微软雅黑" w:eastAsia="微软雅黑"/>
                <w:color w:val="000000"/>
                <w:szCs w:val="21"/>
                <w:lang w:eastAsia="zh-CN"/>
              </w:rPr>
              <w:t>申请人</w:t>
            </w:r>
            <w:r>
              <w:rPr>
                <w:rFonts w:ascii="微软雅黑" w:hAnsi="微软雅黑" w:eastAsia="微软雅黑"/>
                <w:color w:val="000000"/>
                <w:szCs w:val="21"/>
              </w:rPr>
              <w:t>需根据</w:t>
            </w:r>
            <w:r>
              <w:rPr>
                <w:rFonts w:hint="eastAsia" w:ascii="微软雅黑" w:hAnsi="微软雅黑" w:eastAsia="微软雅黑"/>
                <w:color w:val="000000"/>
                <w:szCs w:val="21"/>
                <w:lang w:eastAsia="zh-CN"/>
              </w:rPr>
              <w:t>采购</w:t>
            </w:r>
            <w:r>
              <w:rPr>
                <w:rFonts w:ascii="微软雅黑" w:hAnsi="微软雅黑" w:eastAsia="微软雅黑"/>
                <w:color w:val="000000"/>
                <w:szCs w:val="21"/>
              </w:rPr>
              <w:t>文件的技术</w:t>
            </w:r>
            <w:r>
              <w:rPr>
                <w:rFonts w:hint="eastAsia" w:ascii="微软雅黑" w:hAnsi="微软雅黑" w:eastAsia="微软雅黑"/>
                <w:color w:val="000000"/>
                <w:szCs w:val="21"/>
              </w:rPr>
              <w:t>、</w:t>
            </w:r>
            <w:r>
              <w:rPr>
                <w:rFonts w:ascii="微软雅黑" w:hAnsi="微软雅黑" w:eastAsia="微软雅黑"/>
                <w:color w:val="000000"/>
                <w:szCs w:val="21"/>
              </w:rPr>
              <w:t>功能</w:t>
            </w:r>
            <w:r>
              <w:rPr>
                <w:rFonts w:hint="eastAsia" w:ascii="微软雅黑" w:hAnsi="微软雅黑" w:eastAsia="微软雅黑"/>
                <w:color w:val="000000"/>
                <w:szCs w:val="21"/>
              </w:rPr>
              <w:t>等</w:t>
            </w:r>
            <w:r>
              <w:rPr>
                <w:rFonts w:ascii="微软雅黑" w:hAnsi="微软雅黑" w:eastAsia="微软雅黑"/>
                <w:color w:val="000000"/>
                <w:szCs w:val="21"/>
              </w:rPr>
              <w:t>要求，详细阐述本项目要求建设的应用软件系统的</w:t>
            </w:r>
            <w:r>
              <w:rPr>
                <w:rFonts w:hint="eastAsia" w:ascii="微软雅黑" w:hAnsi="微软雅黑" w:eastAsia="微软雅黑"/>
                <w:color w:val="000000"/>
                <w:szCs w:val="21"/>
              </w:rPr>
              <w:t>平台架构</w:t>
            </w:r>
            <w:r>
              <w:rPr>
                <w:rFonts w:ascii="微软雅黑" w:hAnsi="微软雅黑" w:eastAsia="微软雅黑"/>
                <w:color w:val="000000"/>
                <w:szCs w:val="21"/>
              </w:rPr>
              <w:t>、业务实现及系统功能点的</w:t>
            </w:r>
            <w:r>
              <w:rPr>
                <w:rFonts w:hint="eastAsia" w:ascii="微软雅黑" w:hAnsi="微软雅黑" w:eastAsia="微软雅黑"/>
                <w:color w:val="000000"/>
                <w:szCs w:val="21"/>
              </w:rPr>
              <w:t>技术</w:t>
            </w:r>
            <w:r>
              <w:rPr>
                <w:rFonts w:ascii="微软雅黑" w:hAnsi="微软雅黑" w:eastAsia="微软雅黑"/>
                <w:color w:val="000000"/>
                <w:szCs w:val="21"/>
              </w:rPr>
              <w:t>方案</w:t>
            </w:r>
            <w:r>
              <w:rPr>
                <w:rFonts w:hint="eastAsia" w:ascii="微软雅黑" w:hAnsi="微软雅黑" w:eastAsia="微软雅黑"/>
                <w:color w:val="000000"/>
                <w:szCs w:val="21"/>
              </w:rPr>
              <w:t>，</w:t>
            </w:r>
            <w:r>
              <w:rPr>
                <w:rFonts w:hint="eastAsia" w:ascii="微软雅黑" w:hAnsi="微软雅黑" w:eastAsia="微软雅黑"/>
                <w:color w:val="000000"/>
                <w:szCs w:val="21"/>
                <w:lang w:val="en-US" w:eastAsia="zh-CN"/>
              </w:rPr>
              <w:t>磋商小组成员</w:t>
            </w:r>
            <w:r>
              <w:rPr>
                <w:rFonts w:hint="eastAsia" w:ascii="微软雅黑" w:hAnsi="微软雅黑" w:eastAsia="微软雅黑"/>
                <w:color w:val="000000"/>
                <w:szCs w:val="21"/>
              </w:rPr>
              <w:t>结合</w:t>
            </w:r>
            <w:r>
              <w:rPr>
                <w:rFonts w:hint="eastAsia" w:ascii="微软雅黑" w:hAnsi="微软雅黑" w:eastAsia="微软雅黑"/>
                <w:color w:val="FF0000"/>
                <w:szCs w:val="21"/>
                <w:lang w:val="en-US" w:eastAsia="zh-CN"/>
              </w:rPr>
              <w:t>技术方案</w:t>
            </w:r>
            <w:r>
              <w:rPr>
                <w:rFonts w:hint="eastAsia" w:ascii="微软雅黑" w:hAnsi="微软雅黑" w:eastAsia="微软雅黑"/>
                <w:color w:val="000000"/>
                <w:szCs w:val="21"/>
              </w:rPr>
              <w:t>综合打分</w:t>
            </w:r>
            <w:r>
              <w:rPr>
                <w:rFonts w:ascii="微软雅黑" w:hAnsi="微软雅黑" w:eastAsia="微软雅黑"/>
                <w:color w:val="000000"/>
                <w:szCs w:val="21"/>
              </w:rPr>
              <w:t>。</w:t>
            </w:r>
            <w:r>
              <w:rPr>
                <w:rFonts w:hint="eastAsia" w:ascii="微软雅黑" w:hAnsi="微软雅黑" w:eastAsia="微软雅黑"/>
                <w:color w:val="000000"/>
                <w:szCs w:val="21"/>
                <w:lang w:val="en-US" w:eastAsia="zh-CN"/>
              </w:rPr>
              <w:t>技术方案</w:t>
            </w:r>
            <w:r>
              <w:rPr>
                <w:rFonts w:hint="eastAsia" w:ascii="微软雅黑" w:hAnsi="微软雅黑" w:eastAsia="微软雅黑"/>
                <w:color w:val="000000"/>
                <w:szCs w:val="21"/>
              </w:rPr>
              <w:t>中不满足</w:t>
            </w:r>
            <w:r>
              <w:rPr>
                <w:rFonts w:hint="eastAsia" w:ascii="微软雅黑" w:hAnsi="微软雅黑" w:eastAsia="微软雅黑"/>
                <w:color w:val="000000"/>
                <w:szCs w:val="21"/>
                <w:lang w:val="en-US" w:eastAsia="zh-CN"/>
              </w:rPr>
              <w:t>磋商文件</w:t>
            </w:r>
            <w:r>
              <w:rPr>
                <w:rFonts w:hint="eastAsia" w:ascii="微软雅黑" w:hAnsi="微软雅黑" w:eastAsia="微软雅黑"/>
                <w:color w:val="000000"/>
                <w:szCs w:val="21"/>
                <w:lang w:eastAsia="zh-CN"/>
              </w:rPr>
              <w:t>“</w:t>
            </w:r>
            <w:r>
              <w:rPr>
                <w:rFonts w:hint="eastAsia" w:ascii="微软雅黑" w:hAnsi="微软雅黑" w:eastAsia="微软雅黑"/>
                <w:color w:val="000000"/>
                <w:szCs w:val="21"/>
                <w:lang w:val="en-US" w:eastAsia="zh-CN"/>
              </w:rPr>
              <w:t>第四章 项目技术要求”中任</w:t>
            </w:r>
            <w:r>
              <w:rPr>
                <w:rFonts w:hint="eastAsia" w:ascii="微软雅黑" w:hAnsi="微软雅黑" w:eastAsia="微软雅黑"/>
                <w:color w:val="000000"/>
                <w:szCs w:val="21"/>
              </w:rPr>
              <w:t>一项</w:t>
            </w:r>
            <w:r>
              <w:rPr>
                <w:rFonts w:hint="eastAsia" w:ascii="微软雅黑" w:hAnsi="微软雅黑" w:eastAsia="微软雅黑"/>
                <w:color w:val="000000"/>
                <w:szCs w:val="21"/>
                <w:lang w:eastAsia="zh-CN"/>
              </w:rPr>
              <w:t>（</w:t>
            </w:r>
            <w:r>
              <w:rPr>
                <w:rFonts w:hint="eastAsia" w:ascii="微软雅黑" w:hAnsi="微软雅黑" w:eastAsia="微软雅黑"/>
                <w:color w:val="000000"/>
                <w:szCs w:val="21"/>
                <w:lang w:val="en-US" w:eastAsia="zh-CN"/>
              </w:rPr>
              <w:t>项目建设工期除外）</w:t>
            </w:r>
            <w:r>
              <w:rPr>
                <w:rFonts w:hint="eastAsia" w:ascii="微软雅黑" w:hAnsi="微软雅黑" w:eastAsia="微软雅黑"/>
                <w:color w:val="000000"/>
                <w:szCs w:val="21"/>
              </w:rPr>
              <w:t>扣3分，</w:t>
            </w:r>
            <w:r>
              <w:rPr>
                <w:rFonts w:hint="eastAsia" w:ascii="微软雅黑" w:hAnsi="微软雅黑" w:eastAsia="微软雅黑"/>
                <w:color w:val="000000"/>
                <w:szCs w:val="21"/>
                <w:lang w:val="en-US" w:eastAsia="zh-CN"/>
              </w:rPr>
              <w:t>项目建设工期不满足扣10分，</w:t>
            </w:r>
            <w:r>
              <w:rPr>
                <w:rFonts w:hint="eastAsia" w:ascii="微软雅黑" w:hAnsi="微软雅黑" w:eastAsia="微软雅黑"/>
                <w:color w:val="000000"/>
                <w:szCs w:val="21"/>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8" w:hRule="atLeast"/>
        </w:trPr>
        <w:tc>
          <w:tcPr>
            <w:tcW w:w="1440" w:type="dxa"/>
            <w:vAlign w:val="center"/>
          </w:tcPr>
          <w:p>
            <w:pPr>
              <w:widowControl/>
              <w:jc w:val="center"/>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实施安排及售后服务</w:t>
            </w:r>
          </w:p>
        </w:tc>
        <w:tc>
          <w:tcPr>
            <w:tcW w:w="1090" w:type="dxa"/>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lang w:val="en-US" w:eastAsia="zh-CN"/>
              </w:rPr>
              <w:t>2</w:t>
            </w:r>
            <w:r>
              <w:rPr>
                <w:rFonts w:hint="eastAsia" w:ascii="微软雅黑" w:hAnsi="微软雅黑" w:eastAsia="微软雅黑" w:cs="宋体"/>
                <w:kern w:val="0"/>
                <w:sz w:val="24"/>
              </w:rPr>
              <w:t>0</w:t>
            </w:r>
            <w:r>
              <w:rPr>
                <w:rFonts w:hint="eastAsia" w:ascii="微软雅黑" w:hAnsi="微软雅黑" w:eastAsia="微软雅黑" w:cs="宋体"/>
                <w:color w:val="000000"/>
                <w:kern w:val="0"/>
                <w:sz w:val="24"/>
              </w:rPr>
              <w:t>分</w:t>
            </w:r>
          </w:p>
        </w:tc>
        <w:tc>
          <w:tcPr>
            <w:tcW w:w="6826" w:type="dxa"/>
          </w:tcPr>
          <w:p>
            <w:pPr>
              <w:adjustRightInd w:val="0"/>
              <w:spacing w:line="360" w:lineRule="auto"/>
              <w:jc w:val="left"/>
              <w:rPr>
                <w:rFonts w:ascii="微软雅黑" w:hAnsi="微软雅黑" w:eastAsia="微软雅黑"/>
                <w:color w:val="000000"/>
                <w:szCs w:val="21"/>
              </w:rPr>
            </w:pPr>
            <w:r>
              <w:rPr>
                <w:rFonts w:hint="eastAsia" w:ascii="微软雅黑" w:hAnsi="微软雅黑" w:eastAsia="微软雅黑"/>
                <w:color w:val="000000"/>
                <w:szCs w:val="21"/>
              </w:rPr>
              <w:t>根据</w:t>
            </w:r>
            <w:r>
              <w:rPr>
                <w:rFonts w:hint="eastAsia" w:ascii="微软雅黑" w:hAnsi="微软雅黑" w:eastAsia="微软雅黑"/>
                <w:color w:val="000000"/>
                <w:szCs w:val="21"/>
                <w:lang w:eastAsia="zh-CN"/>
              </w:rPr>
              <w:t>申请人</w:t>
            </w:r>
            <w:r>
              <w:rPr>
                <w:rFonts w:hint="eastAsia" w:ascii="微软雅黑" w:hAnsi="微软雅黑" w:eastAsia="微软雅黑"/>
                <w:color w:val="000000"/>
                <w:szCs w:val="21"/>
              </w:rPr>
              <w:t>对项目实施部署、培训安排、人员调配等有合理综合安排，对整个项目实施推广、售后服务的方案描述详细程度及合理性等进行综合排名。经综合评比排名第一的得</w:t>
            </w:r>
            <w:r>
              <w:rPr>
                <w:rFonts w:hint="eastAsia" w:ascii="微软雅黑" w:hAnsi="微软雅黑" w:eastAsia="微软雅黑"/>
                <w:color w:val="000000"/>
                <w:szCs w:val="21"/>
                <w:lang w:val="en-US" w:eastAsia="zh-CN"/>
              </w:rPr>
              <w:t>2</w:t>
            </w:r>
            <w:r>
              <w:rPr>
                <w:rFonts w:hint="eastAsia" w:ascii="微软雅黑" w:hAnsi="微软雅黑" w:eastAsia="微软雅黑"/>
                <w:color w:val="000000"/>
                <w:szCs w:val="21"/>
              </w:rPr>
              <w:t>0分，排名第二的得</w:t>
            </w:r>
            <w:r>
              <w:rPr>
                <w:rFonts w:hint="eastAsia" w:ascii="微软雅黑" w:hAnsi="微软雅黑" w:eastAsia="微软雅黑"/>
                <w:color w:val="000000"/>
                <w:szCs w:val="21"/>
                <w:lang w:val="en-US" w:eastAsia="zh-CN"/>
              </w:rPr>
              <w:t>10</w:t>
            </w:r>
            <w:r>
              <w:rPr>
                <w:rFonts w:hint="eastAsia" w:ascii="微软雅黑" w:hAnsi="微软雅黑" w:eastAsia="微软雅黑"/>
                <w:color w:val="000000"/>
                <w:szCs w:val="21"/>
              </w:rPr>
              <w:t>分，排名第三和第三以后的得</w:t>
            </w:r>
            <w:r>
              <w:rPr>
                <w:rFonts w:hint="eastAsia" w:ascii="微软雅黑" w:hAnsi="微软雅黑" w:eastAsia="微软雅黑"/>
                <w:color w:val="000000"/>
                <w:szCs w:val="21"/>
                <w:lang w:val="en-US" w:eastAsia="zh-CN"/>
              </w:rPr>
              <w:t>5</w:t>
            </w:r>
            <w:r>
              <w:rPr>
                <w:rFonts w:hint="eastAsia" w:ascii="微软雅黑" w:hAnsi="微软雅黑" w:eastAsia="微软雅黑"/>
                <w:color w:val="000000"/>
                <w:szCs w:val="21"/>
              </w:rPr>
              <w:t>分，未提供不得分。</w:t>
            </w:r>
          </w:p>
        </w:tc>
      </w:tr>
      <w:bookmarkEnd w:id="148"/>
      <w:bookmarkEnd w:id="149"/>
    </w:tbl>
    <w:p>
      <w:pPr>
        <w:widowControl/>
        <w:autoSpaceDE w:val="0"/>
        <w:autoSpaceDN w:val="0"/>
        <w:spacing w:line="360" w:lineRule="auto"/>
        <w:ind w:right="51" w:firstLine="480" w:firstLineChars="200"/>
        <w:textAlignment w:val="bottom"/>
        <w:rPr>
          <w:rFonts w:ascii="微软雅黑" w:hAnsi="微软雅黑" w:eastAsia="微软雅黑"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A00002EF" w:usb1="4000207B"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Microsoft Yi Baiti">
    <w:panose1 w:val="03000500000000000000"/>
    <w:charset w:val="00"/>
    <w:family w:val="script"/>
    <w:pitch w:val="default"/>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4"/>
      <w:rPr>
        <w:rStyle w:val="20"/>
      </w:rPr>
    </w:pPr>
    <w:r>
      <w:fldChar w:fldCharType="begin"/>
    </w:r>
    <w:r>
      <w:rPr>
        <w:rStyle w:val="20"/>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4"/>
      <w:rPr>
        <w:rStyle w:val="20"/>
      </w:rPr>
    </w:pPr>
    <w:r>
      <w:fldChar w:fldCharType="begin"/>
    </w:r>
    <w:r>
      <w:rPr>
        <w:rStyle w:val="20"/>
      </w:rPr>
      <w:instrText xml:space="preserve">PAGE  </w:instrText>
    </w:r>
    <w:r>
      <w:fldChar w:fldCharType="separate"/>
    </w:r>
    <w:r>
      <w:rPr>
        <w:rStyle w:val="20"/>
      </w:rPr>
      <w:t>8</w: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jc w:val="center"/>
      <w:rPr>
        <w:rFonts w:ascii="微软雅黑" w:hAnsi="微软雅黑" w:eastAsia="微软雅黑"/>
        <w:sz w:val="18"/>
        <w:szCs w:val="18"/>
        <w:lang w:val="zh-CN"/>
      </w:rPr>
    </w:pPr>
    <w:r>
      <w:rPr>
        <w:rFonts w:ascii="微软雅黑" w:hAnsi="微软雅黑" w:eastAsia="微软雅黑"/>
        <w:sz w:val="18"/>
        <w:szCs w:val="18"/>
        <w:lang w:val="zh-CN"/>
      </w:rPr>
      <w:t>第</w:t>
    </w:r>
    <w:r>
      <w:rPr>
        <w:rFonts w:ascii="微软雅黑" w:hAnsi="微软雅黑" w:eastAsia="微软雅黑"/>
        <w:bCs/>
        <w:sz w:val="18"/>
        <w:szCs w:val="18"/>
      </w:rPr>
      <w:fldChar w:fldCharType="begin"/>
    </w:r>
    <w:r>
      <w:rPr>
        <w:rFonts w:ascii="微软雅黑" w:hAnsi="微软雅黑" w:eastAsia="微软雅黑"/>
        <w:bCs/>
        <w:sz w:val="18"/>
        <w:szCs w:val="18"/>
      </w:rPr>
      <w:instrText xml:space="preserve">PAGE</w:instrText>
    </w:r>
    <w:r>
      <w:rPr>
        <w:rFonts w:ascii="微软雅黑" w:hAnsi="微软雅黑" w:eastAsia="微软雅黑"/>
        <w:bCs/>
        <w:sz w:val="18"/>
        <w:szCs w:val="18"/>
      </w:rPr>
      <w:fldChar w:fldCharType="separate"/>
    </w:r>
    <w:r>
      <w:rPr>
        <w:rFonts w:ascii="微软雅黑" w:hAnsi="微软雅黑" w:eastAsia="微软雅黑"/>
        <w:bCs/>
        <w:sz w:val="18"/>
        <w:szCs w:val="18"/>
      </w:rPr>
      <w:t>33</w:t>
    </w:r>
    <w:r>
      <w:rPr>
        <w:rFonts w:ascii="微软雅黑" w:hAnsi="微软雅黑" w:eastAsia="微软雅黑"/>
        <w:bCs/>
        <w:sz w:val="18"/>
        <w:szCs w:val="18"/>
      </w:rPr>
      <w:fldChar w:fldCharType="end"/>
    </w:r>
    <w:r>
      <w:rPr>
        <w:rFonts w:ascii="微软雅黑" w:hAnsi="微软雅黑" w:eastAsia="微软雅黑"/>
        <w:bCs/>
        <w:sz w:val="18"/>
        <w:szCs w:val="18"/>
      </w:rPr>
      <w:t>页</w:t>
    </w:r>
    <w:r>
      <w:rPr>
        <w:rFonts w:hint="eastAsia" w:ascii="微软雅黑" w:hAnsi="微软雅黑" w:eastAsia="微软雅黑"/>
        <w:sz w:val="18"/>
        <w:szCs w:val="18"/>
        <w:lang w:val="zh-CN"/>
      </w:rPr>
      <w:t xml:space="preserve">  </w:t>
    </w:r>
    <w:r>
      <w:rPr>
        <w:rFonts w:ascii="微软雅黑" w:hAnsi="微软雅黑" w:eastAsia="微软雅黑"/>
        <w:sz w:val="18"/>
        <w:szCs w:val="18"/>
        <w:lang w:val="zh-CN"/>
      </w:rPr>
      <w:t>共</w:t>
    </w:r>
    <w:r>
      <w:fldChar w:fldCharType="begin"/>
    </w:r>
    <w:r>
      <w:instrText xml:space="preserve"> NUMPAGES   \* MERGEFORMAT </w:instrText>
    </w:r>
    <w:r>
      <w:fldChar w:fldCharType="separate"/>
    </w:r>
    <w:r>
      <w:rPr>
        <w:rFonts w:ascii="微软雅黑" w:hAnsi="微软雅黑" w:eastAsia="微软雅黑"/>
        <w:sz w:val="18"/>
        <w:szCs w:val="18"/>
        <w:lang w:val="zh-CN"/>
      </w:rPr>
      <w:t>33</w:t>
    </w:r>
    <w:r>
      <w:rPr>
        <w:rFonts w:ascii="微软雅黑" w:hAnsi="微软雅黑" w:eastAsia="微软雅黑"/>
        <w:sz w:val="18"/>
        <w:szCs w:val="18"/>
        <w:lang w:val="zh-CN"/>
      </w:rPr>
      <w:fldChar w:fldCharType="end"/>
    </w:r>
    <w:r>
      <w:rPr>
        <w:rFonts w:hint="eastAsia" w:ascii="微软雅黑" w:hAnsi="微软雅黑" w:eastAsia="微软雅黑"/>
        <w:sz w:val="18"/>
        <w:szCs w:val="18"/>
        <w:lang w:val="zh-CN"/>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w:t>
    </w:r>
    <w:r>
      <w:rPr>
        <w:rFonts w:hint="eastAsia"/>
        <w:lang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w:t>
    </w:r>
    <w:r>
      <w:rPr>
        <w:rFonts w:hint="eastAsia"/>
        <w:lang w:eastAsia="zh-CN"/>
      </w:rPr>
      <w:t>采购</w:t>
    </w:r>
    <w:r>
      <w:rPr>
        <w:rFonts w:hint="eastAsia"/>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851"/>
    <w:multiLevelType w:val="multilevel"/>
    <w:tmpl w:val="04C53851"/>
    <w:lvl w:ilvl="0" w:tentative="0">
      <w:start w:val="1"/>
      <w:numFmt w:val="decimal"/>
      <w:lvlText w:val="%1、"/>
      <w:lvlJc w:val="left"/>
      <w:pPr>
        <w:ind w:left="969" w:hanging="420"/>
      </w:pPr>
      <w:rPr>
        <w:rFonts w:hint="default"/>
      </w:r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abstractNum w:abstractNumId="1">
    <w:nsid w:val="102A43E6"/>
    <w:multiLevelType w:val="multilevel"/>
    <w:tmpl w:val="102A43E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AA97BE3"/>
    <w:multiLevelType w:val="multilevel"/>
    <w:tmpl w:val="1AA97BE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612D06"/>
    <w:multiLevelType w:val="multilevel"/>
    <w:tmpl w:val="25612D0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EDE3A2C"/>
    <w:multiLevelType w:val="multilevel"/>
    <w:tmpl w:val="2EDE3A2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6EB26CB"/>
    <w:multiLevelType w:val="multilevel"/>
    <w:tmpl w:val="36EB26CB"/>
    <w:lvl w:ilvl="0" w:tentative="0">
      <w:start w:val="1"/>
      <w:numFmt w:val="japaneseCounting"/>
      <w:lvlText w:val="%1、"/>
      <w:lvlJc w:val="left"/>
      <w:pPr>
        <w:ind w:left="1269" w:hanging="720"/>
      </w:pPr>
      <w:rPr>
        <w:rFonts w:hint="default"/>
      </w:r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abstractNum w:abstractNumId="6">
    <w:nsid w:val="383C2070"/>
    <w:multiLevelType w:val="multilevel"/>
    <w:tmpl w:val="383C2070"/>
    <w:lvl w:ilvl="0" w:tentative="0">
      <w:start w:val="1"/>
      <w:numFmt w:val="decimal"/>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469F9EF4"/>
    <w:multiLevelType w:val="singleLevel"/>
    <w:tmpl w:val="469F9EF4"/>
    <w:lvl w:ilvl="0" w:tentative="0">
      <w:start w:val="2"/>
      <w:numFmt w:val="decimal"/>
      <w:suff w:val="nothing"/>
      <w:lvlText w:val="%1、"/>
      <w:lvlJc w:val="left"/>
    </w:lvl>
  </w:abstractNum>
  <w:abstractNum w:abstractNumId="8">
    <w:nsid w:val="6256452B"/>
    <w:multiLevelType w:val="multilevel"/>
    <w:tmpl w:val="6256452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2D264F8"/>
    <w:multiLevelType w:val="multilevel"/>
    <w:tmpl w:val="62D264F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AEF2AFE"/>
    <w:multiLevelType w:val="multilevel"/>
    <w:tmpl w:val="6AEF2AF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2D4107D"/>
    <w:multiLevelType w:val="multilevel"/>
    <w:tmpl w:val="72D4107D"/>
    <w:lvl w:ilvl="0" w:tentative="0">
      <w:start w:val="1"/>
      <w:numFmt w:val="decimal"/>
      <w:lvlText w:val="（%1）"/>
      <w:lvlJc w:val="left"/>
      <w:pPr>
        <w:ind w:left="1195" w:hanging="720"/>
      </w:pPr>
      <w:rPr>
        <w:rFonts w:hint="default"/>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12">
    <w:nsid w:val="7F7E557A"/>
    <w:multiLevelType w:val="multilevel"/>
    <w:tmpl w:val="7F7E557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0"/>
  </w:num>
  <w:num w:numId="3">
    <w:abstractNumId w:val="6"/>
  </w:num>
  <w:num w:numId="4">
    <w:abstractNumId w:val="11"/>
  </w:num>
  <w:num w:numId="5">
    <w:abstractNumId w:val="7"/>
  </w:num>
  <w:num w:numId="6">
    <w:abstractNumId w:val="12"/>
  </w:num>
  <w:num w:numId="7">
    <w:abstractNumId w:val="3"/>
  </w:num>
  <w:num w:numId="8">
    <w:abstractNumId w:val="9"/>
  </w:num>
  <w:num w:numId="9">
    <w:abstractNumId w:val="10"/>
  </w:num>
  <w:num w:numId="10">
    <w:abstractNumId w:val="4"/>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1A9"/>
    <w:rsid w:val="0000742F"/>
    <w:rsid w:val="00021FB1"/>
    <w:rsid w:val="000259AF"/>
    <w:rsid w:val="0003404B"/>
    <w:rsid w:val="00036CF7"/>
    <w:rsid w:val="00043CFF"/>
    <w:rsid w:val="00044898"/>
    <w:rsid w:val="00044C9E"/>
    <w:rsid w:val="00051942"/>
    <w:rsid w:val="00051A68"/>
    <w:rsid w:val="000557C6"/>
    <w:rsid w:val="00061D2F"/>
    <w:rsid w:val="00063A40"/>
    <w:rsid w:val="000675C2"/>
    <w:rsid w:val="00070BBD"/>
    <w:rsid w:val="0009289D"/>
    <w:rsid w:val="00094045"/>
    <w:rsid w:val="000A222E"/>
    <w:rsid w:val="000A2EB8"/>
    <w:rsid w:val="000A7422"/>
    <w:rsid w:val="000B591A"/>
    <w:rsid w:val="000B6119"/>
    <w:rsid w:val="000B624C"/>
    <w:rsid w:val="000C45C4"/>
    <w:rsid w:val="000D12FE"/>
    <w:rsid w:val="000D27FD"/>
    <w:rsid w:val="000E1A0E"/>
    <w:rsid w:val="000E40C7"/>
    <w:rsid w:val="000E43EF"/>
    <w:rsid w:val="000E50CB"/>
    <w:rsid w:val="000E6438"/>
    <w:rsid w:val="000E7B23"/>
    <w:rsid w:val="000E7C7E"/>
    <w:rsid w:val="000F06FE"/>
    <w:rsid w:val="000F491D"/>
    <w:rsid w:val="000F7732"/>
    <w:rsid w:val="001135AE"/>
    <w:rsid w:val="00114D74"/>
    <w:rsid w:val="00120A3E"/>
    <w:rsid w:val="00122676"/>
    <w:rsid w:val="001241FC"/>
    <w:rsid w:val="00131C6D"/>
    <w:rsid w:val="0014533D"/>
    <w:rsid w:val="00147471"/>
    <w:rsid w:val="001512A9"/>
    <w:rsid w:val="0015277D"/>
    <w:rsid w:val="00153629"/>
    <w:rsid w:val="00153D42"/>
    <w:rsid w:val="00157618"/>
    <w:rsid w:val="0017214B"/>
    <w:rsid w:val="00172A27"/>
    <w:rsid w:val="00172F79"/>
    <w:rsid w:val="001764E3"/>
    <w:rsid w:val="00176DD3"/>
    <w:rsid w:val="00177B0C"/>
    <w:rsid w:val="00182D4D"/>
    <w:rsid w:val="001835AD"/>
    <w:rsid w:val="001838EC"/>
    <w:rsid w:val="00183CD4"/>
    <w:rsid w:val="00187D45"/>
    <w:rsid w:val="00194C91"/>
    <w:rsid w:val="00195E76"/>
    <w:rsid w:val="001A7DDC"/>
    <w:rsid w:val="001B6985"/>
    <w:rsid w:val="001B6F63"/>
    <w:rsid w:val="001C2A69"/>
    <w:rsid w:val="001C6EFA"/>
    <w:rsid w:val="001D0AA7"/>
    <w:rsid w:val="001D108E"/>
    <w:rsid w:val="001D677C"/>
    <w:rsid w:val="001E34D0"/>
    <w:rsid w:val="001F0C21"/>
    <w:rsid w:val="00202D8E"/>
    <w:rsid w:val="00204BEF"/>
    <w:rsid w:val="00205AEB"/>
    <w:rsid w:val="0020737E"/>
    <w:rsid w:val="00207F99"/>
    <w:rsid w:val="00212E2E"/>
    <w:rsid w:val="0021336B"/>
    <w:rsid w:val="0022022B"/>
    <w:rsid w:val="00227C83"/>
    <w:rsid w:val="00227D99"/>
    <w:rsid w:val="0024564A"/>
    <w:rsid w:val="0024682C"/>
    <w:rsid w:val="002470B2"/>
    <w:rsid w:val="0025142E"/>
    <w:rsid w:val="00256843"/>
    <w:rsid w:val="00260B0F"/>
    <w:rsid w:val="00260CD4"/>
    <w:rsid w:val="0026230E"/>
    <w:rsid w:val="002630DD"/>
    <w:rsid w:val="002631BA"/>
    <w:rsid w:val="00264EE2"/>
    <w:rsid w:val="00267030"/>
    <w:rsid w:val="002754D8"/>
    <w:rsid w:val="00277E40"/>
    <w:rsid w:val="00283DF9"/>
    <w:rsid w:val="00284286"/>
    <w:rsid w:val="00287C05"/>
    <w:rsid w:val="002961A4"/>
    <w:rsid w:val="00297C11"/>
    <w:rsid w:val="002A34B8"/>
    <w:rsid w:val="002A5198"/>
    <w:rsid w:val="002A5887"/>
    <w:rsid w:val="002A5949"/>
    <w:rsid w:val="002B0602"/>
    <w:rsid w:val="002B3412"/>
    <w:rsid w:val="002B4356"/>
    <w:rsid w:val="002B53CB"/>
    <w:rsid w:val="002C1955"/>
    <w:rsid w:val="002D2BDA"/>
    <w:rsid w:val="002D54D2"/>
    <w:rsid w:val="002D628A"/>
    <w:rsid w:val="002D7D91"/>
    <w:rsid w:val="002E4D50"/>
    <w:rsid w:val="002E5E49"/>
    <w:rsid w:val="002E7BB7"/>
    <w:rsid w:val="003052F5"/>
    <w:rsid w:val="0030688D"/>
    <w:rsid w:val="00307C32"/>
    <w:rsid w:val="0031039C"/>
    <w:rsid w:val="0031203B"/>
    <w:rsid w:val="003138BE"/>
    <w:rsid w:val="00333766"/>
    <w:rsid w:val="003337E4"/>
    <w:rsid w:val="00334737"/>
    <w:rsid w:val="00335F02"/>
    <w:rsid w:val="00342DE8"/>
    <w:rsid w:val="00345F4C"/>
    <w:rsid w:val="003561CC"/>
    <w:rsid w:val="00357C40"/>
    <w:rsid w:val="00361F65"/>
    <w:rsid w:val="0036592D"/>
    <w:rsid w:val="00367153"/>
    <w:rsid w:val="00370E86"/>
    <w:rsid w:val="003728C2"/>
    <w:rsid w:val="003762E9"/>
    <w:rsid w:val="00377C95"/>
    <w:rsid w:val="003911C5"/>
    <w:rsid w:val="00395A9C"/>
    <w:rsid w:val="0039759F"/>
    <w:rsid w:val="003A3BB2"/>
    <w:rsid w:val="003A563C"/>
    <w:rsid w:val="003B1038"/>
    <w:rsid w:val="003B571E"/>
    <w:rsid w:val="003B6123"/>
    <w:rsid w:val="003B66C4"/>
    <w:rsid w:val="003C2049"/>
    <w:rsid w:val="003D57C9"/>
    <w:rsid w:val="003D67ED"/>
    <w:rsid w:val="003D7089"/>
    <w:rsid w:val="00404DC2"/>
    <w:rsid w:val="00404E96"/>
    <w:rsid w:val="00405292"/>
    <w:rsid w:val="00416A79"/>
    <w:rsid w:val="00420861"/>
    <w:rsid w:val="00420907"/>
    <w:rsid w:val="004217B6"/>
    <w:rsid w:val="004223C0"/>
    <w:rsid w:val="0042306E"/>
    <w:rsid w:val="0042608B"/>
    <w:rsid w:val="00434C36"/>
    <w:rsid w:val="0043574A"/>
    <w:rsid w:val="004402FC"/>
    <w:rsid w:val="00450F1E"/>
    <w:rsid w:val="00457852"/>
    <w:rsid w:val="0046004F"/>
    <w:rsid w:val="004616A5"/>
    <w:rsid w:val="0046278D"/>
    <w:rsid w:val="004651A6"/>
    <w:rsid w:val="00470275"/>
    <w:rsid w:val="00470C00"/>
    <w:rsid w:val="0047697C"/>
    <w:rsid w:val="00477750"/>
    <w:rsid w:val="004836DD"/>
    <w:rsid w:val="004843C8"/>
    <w:rsid w:val="004943EB"/>
    <w:rsid w:val="004A115B"/>
    <w:rsid w:val="004A1C0F"/>
    <w:rsid w:val="004A3E57"/>
    <w:rsid w:val="004A49C5"/>
    <w:rsid w:val="004B183E"/>
    <w:rsid w:val="004C0C6B"/>
    <w:rsid w:val="004D13BC"/>
    <w:rsid w:val="004D3684"/>
    <w:rsid w:val="004D3EBA"/>
    <w:rsid w:val="004D6FD9"/>
    <w:rsid w:val="004E3277"/>
    <w:rsid w:val="004F43A2"/>
    <w:rsid w:val="004F447D"/>
    <w:rsid w:val="00505A34"/>
    <w:rsid w:val="00505F4A"/>
    <w:rsid w:val="00506D46"/>
    <w:rsid w:val="0052097B"/>
    <w:rsid w:val="005222FE"/>
    <w:rsid w:val="005238A9"/>
    <w:rsid w:val="00523F47"/>
    <w:rsid w:val="00524DEB"/>
    <w:rsid w:val="005269B4"/>
    <w:rsid w:val="00527A06"/>
    <w:rsid w:val="00541386"/>
    <w:rsid w:val="00547E69"/>
    <w:rsid w:val="00567C0A"/>
    <w:rsid w:val="005701CC"/>
    <w:rsid w:val="00573724"/>
    <w:rsid w:val="0057384B"/>
    <w:rsid w:val="005774F3"/>
    <w:rsid w:val="005779A0"/>
    <w:rsid w:val="00580292"/>
    <w:rsid w:val="0059041C"/>
    <w:rsid w:val="00594384"/>
    <w:rsid w:val="005961F5"/>
    <w:rsid w:val="005A0D14"/>
    <w:rsid w:val="005A569E"/>
    <w:rsid w:val="005A65AD"/>
    <w:rsid w:val="005B3E46"/>
    <w:rsid w:val="005B457E"/>
    <w:rsid w:val="005B7F6E"/>
    <w:rsid w:val="005C68BC"/>
    <w:rsid w:val="005C7264"/>
    <w:rsid w:val="005C77E0"/>
    <w:rsid w:val="005E1AC3"/>
    <w:rsid w:val="005E2896"/>
    <w:rsid w:val="005E7D63"/>
    <w:rsid w:val="005F3511"/>
    <w:rsid w:val="005F43F6"/>
    <w:rsid w:val="005F4414"/>
    <w:rsid w:val="005F4D86"/>
    <w:rsid w:val="005F5F09"/>
    <w:rsid w:val="005F6031"/>
    <w:rsid w:val="00601213"/>
    <w:rsid w:val="00603207"/>
    <w:rsid w:val="00603250"/>
    <w:rsid w:val="00610131"/>
    <w:rsid w:val="00611563"/>
    <w:rsid w:val="00612263"/>
    <w:rsid w:val="00613521"/>
    <w:rsid w:val="00614D68"/>
    <w:rsid w:val="00617CD6"/>
    <w:rsid w:val="00621E9B"/>
    <w:rsid w:val="006270BF"/>
    <w:rsid w:val="00627FC9"/>
    <w:rsid w:val="00633306"/>
    <w:rsid w:val="00633B87"/>
    <w:rsid w:val="0063466F"/>
    <w:rsid w:val="00634EBA"/>
    <w:rsid w:val="00650B80"/>
    <w:rsid w:val="00652FB5"/>
    <w:rsid w:val="00653C34"/>
    <w:rsid w:val="00654DEF"/>
    <w:rsid w:val="006616E9"/>
    <w:rsid w:val="006649A1"/>
    <w:rsid w:val="00671783"/>
    <w:rsid w:val="00672248"/>
    <w:rsid w:val="006728D8"/>
    <w:rsid w:val="00676616"/>
    <w:rsid w:val="00676E69"/>
    <w:rsid w:val="0068474C"/>
    <w:rsid w:val="006872A8"/>
    <w:rsid w:val="00690182"/>
    <w:rsid w:val="006902D9"/>
    <w:rsid w:val="00692433"/>
    <w:rsid w:val="006940FF"/>
    <w:rsid w:val="00696140"/>
    <w:rsid w:val="006C7AA2"/>
    <w:rsid w:val="006D048D"/>
    <w:rsid w:val="006D17B0"/>
    <w:rsid w:val="006D45D2"/>
    <w:rsid w:val="006D6344"/>
    <w:rsid w:val="006E32C4"/>
    <w:rsid w:val="006E60E2"/>
    <w:rsid w:val="006E680B"/>
    <w:rsid w:val="006E7B7F"/>
    <w:rsid w:val="006F37ED"/>
    <w:rsid w:val="007024C5"/>
    <w:rsid w:val="0070702A"/>
    <w:rsid w:val="00722E2B"/>
    <w:rsid w:val="00727398"/>
    <w:rsid w:val="00727671"/>
    <w:rsid w:val="0073228B"/>
    <w:rsid w:val="00734483"/>
    <w:rsid w:val="00734F2E"/>
    <w:rsid w:val="00735182"/>
    <w:rsid w:val="00735861"/>
    <w:rsid w:val="00736655"/>
    <w:rsid w:val="00736F4B"/>
    <w:rsid w:val="007438A5"/>
    <w:rsid w:val="00745873"/>
    <w:rsid w:val="00747152"/>
    <w:rsid w:val="00750159"/>
    <w:rsid w:val="00752F48"/>
    <w:rsid w:val="00755575"/>
    <w:rsid w:val="00761A6F"/>
    <w:rsid w:val="00761B21"/>
    <w:rsid w:val="00764BF9"/>
    <w:rsid w:val="00766122"/>
    <w:rsid w:val="00766B80"/>
    <w:rsid w:val="00767201"/>
    <w:rsid w:val="007704EC"/>
    <w:rsid w:val="00784B5C"/>
    <w:rsid w:val="00784DBB"/>
    <w:rsid w:val="007911FE"/>
    <w:rsid w:val="0079472F"/>
    <w:rsid w:val="00794CDF"/>
    <w:rsid w:val="007A0493"/>
    <w:rsid w:val="007A2395"/>
    <w:rsid w:val="007A30E4"/>
    <w:rsid w:val="007D280F"/>
    <w:rsid w:val="007E4EEE"/>
    <w:rsid w:val="007E5726"/>
    <w:rsid w:val="007F14FC"/>
    <w:rsid w:val="007F5BB4"/>
    <w:rsid w:val="007F745B"/>
    <w:rsid w:val="008016E4"/>
    <w:rsid w:val="00801E55"/>
    <w:rsid w:val="00801E80"/>
    <w:rsid w:val="00804FD1"/>
    <w:rsid w:val="0080531B"/>
    <w:rsid w:val="00806592"/>
    <w:rsid w:val="00825C6D"/>
    <w:rsid w:val="0082604A"/>
    <w:rsid w:val="008275C1"/>
    <w:rsid w:val="00831A9F"/>
    <w:rsid w:val="00844B57"/>
    <w:rsid w:val="00845BA7"/>
    <w:rsid w:val="00851C80"/>
    <w:rsid w:val="00852850"/>
    <w:rsid w:val="00853F1C"/>
    <w:rsid w:val="008630F9"/>
    <w:rsid w:val="008631C2"/>
    <w:rsid w:val="00867524"/>
    <w:rsid w:val="00872DD0"/>
    <w:rsid w:val="00875564"/>
    <w:rsid w:val="00877CA0"/>
    <w:rsid w:val="00884DDA"/>
    <w:rsid w:val="00890B70"/>
    <w:rsid w:val="0089275C"/>
    <w:rsid w:val="00893F2C"/>
    <w:rsid w:val="00895AC9"/>
    <w:rsid w:val="00895B48"/>
    <w:rsid w:val="00896823"/>
    <w:rsid w:val="008A06BA"/>
    <w:rsid w:val="008A29B0"/>
    <w:rsid w:val="008A4D58"/>
    <w:rsid w:val="008B42F3"/>
    <w:rsid w:val="008B6BB7"/>
    <w:rsid w:val="008C0A95"/>
    <w:rsid w:val="008C1F5E"/>
    <w:rsid w:val="008C4D2D"/>
    <w:rsid w:val="008D07E5"/>
    <w:rsid w:val="008D52C4"/>
    <w:rsid w:val="008D58C1"/>
    <w:rsid w:val="008D5A47"/>
    <w:rsid w:val="008D6BD8"/>
    <w:rsid w:val="008E2D95"/>
    <w:rsid w:val="008E46A3"/>
    <w:rsid w:val="008E4D93"/>
    <w:rsid w:val="008F14EF"/>
    <w:rsid w:val="008F15EA"/>
    <w:rsid w:val="009009E6"/>
    <w:rsid w:val="00910086"/>
    <w:rsid w:val="0091156D"/>
    <w:rsid w:val="00913322"/>
    <w:rsid w:val="00914B85"/>
    <w:rsid w:val="009162F9"/>
    <w:rsid w:val="0091659C"/>
    <w:rsid w:val="009259E0"/>
    <w:rsid w:val="00927840"/>
    <w:rsid w:val="00932353"/>
    <w:rsid w:val="00932582"/>
    <w:rsid w:val="009329A5"/>
    <w:rsid w:val="00932FC7"/>
    <w:rsid w:val="009422F4"/>
    <w:rsid w:val="009443C7"/>
    <w:rsid w:val="009458AC"/>
    <w:rsid w:val="00945CB6"/>
    <w:rsid w:val="00956487"/>
    <w:rsid w:val="0096110F"/>
    <w:rsid w:val="00961CA5"/>
    <w:rsid w:val="00967CD4"/>
    <w:rsid w:val="00975682"/>
    <w:rsid w:val="009765E4"/>
    <w:rsid w:val="009A011A"/>
    <w:rsid w:val="009A4BC8"/>
    <w:rsid w:val="009A7610"/>
    <w:rsid w:val="009B09B9"/>
    <w:rsid w:val="009B1781"/>
    <w:rsid w:val="009B37B1"/>
    <w:rsid w:val="009B59AE"/>
    <w:rsid w:val="009B6378"/>
    <w:rsid w:val="009B689D"/>
    <w:rsid w:val="009C4653"/>
    <w:rsid w:val="009D01F9"/>
    <w:rsid w:val="009E2C35"/>
    <w:rsid w:val="009E3D8D"/>
    <w:rsid w:val="009E4C44"/>
    <w:rsid w:val="009F1F8A"/>
    <w:rsid w:val="009F2B6C"/>
    <w:rsid w:val="009F55D2"/>
    <w:rsid w:val="009F5F93"/>
    <w:rsid w:val="00A0041F"/>
    <w:rsid w:val="00A004D3"/>
    <w:rsid w:val="00A039BA"/>
    <w:rsid w:val="00A03D1F"/>
    <w:rsid w:val="00A100D3"/>
    <w:rsid w:val="00A10FD7"/>
    <w:rsid w:val="00A1422E"/>
    <w:rsid w:val="00A17A04"/>
    <w:rsid w:val="00A21C9D"/>
    <w:rsid w:val="00A239AA"/>
    <w:rsid w:val="00A27865"/>
    <w:rsid w:val="00A27AC7"/>
    <w:rsid w:val="00A27BB7"/>
    <w:rsid w:val="00A37BAA"/>
    <w:rsid w:val="00A429DC"/>
    <w:rsid w:val="00A44EA9"/>
    <w:rsid w:val="00A5027F"/>
    <w:rsid w:val="00A55405"/>
    <w:rsid w:val="00A5644A"/>
    <w:rsid w:val="00A57178"/>
    <w:rsid w:val="00A579DF"/>
    <w:rsid w:val="00A62719"/>
    <w:rsid w:val="00A67897"/>
    <w:rsid w:val="00A74358"/>
    <w:rsid w:val="00A75C58"/>
    <w:rsid w:val="00A8189E"/>
    <w:rsid w:val="00A82098"/>
    <w:rsid w:val="00A87E96"/>
    <w:rsid w:val="00A9130B"/>
    <w:rsid w:val="00A93F86"/>
    <w:rsid w:val="00AA1018"/>
    <w:rsid w:val="00AA5D86"/>
    <w:rsid w:val="00AB0AFE"/>
    <w:rsid w:val="00AB0CDD"/>
    <w:rsid w:val="00AB2906"/>
    <w:rsid w:val="00AC72EC"/>
    <w:rsid w:val="00AD4237"/>
    <w:rsid w:val="00AD4285"/>
    <w:rsid w:val="00AD64FD"/>
    <w:rsid w:val="00AD7636"/>
    <w:rsid w:val="00AE1F4B"/>
    <w:rsid w:val="00AE3469"/>
    <w:rsid w:val="00AE3DF1"/>
    <w:rsid w:val="00AE42B4"/>
    <w:rsid w:val="00AE6A74"/>
    <w:rsid w:val="00AE6C30"/>
    <w:rsid w:val="00AF230B"/>
    <w:rsid w:val="00AF43BA"/>
    <w:rsid w:val="00AF763F"/>
    <w:rsid w:val="00B00D86"/>
    <w:rsid w:val="00B05A3D"/>
    <w:rsid w:val="00B06DD3"/>
    <w:rsid w:val="00B070F6"/>
    <w:rsid w:val="00B155BD"/>
    <w:rsid w:val="00B20EAE"/>
    <w:rsid w:val="00B254AB"/>
    <w:rsid w:val="00B262B1"/>
    <w:rsid w:val="00B3293D"/>
    <w:rsid w:val="00B33926"/>
    <w:rsid w:val="00B35BEB"/>
    <w:rsid w:val="00B42650"/>
    <w:rsid w:val="00B438FF"/>
    <w:rsid w:val="00B4744A"/>
    <w:rsid w:val="00B551C7"/>
    <w:rsid w:val="00B63667"/>
    <w:rsid w:val="00B63E37"/>
    <w:rsid w:val="00B653F2"/>
    <w:rsid w:val="00B667E4"/>
    <w:rsid w:val="00B7132B"/>
    <w:rsid w:val="00B720E8"/>
    <w:rsid w:val="00B92CCB"/>
    <w:rsid w:val="00B92F64"/>
    <w:rsid w:val="00B939B2"/>
    <w:rsid w:val="00B95B89"/>
    <w:rsid w:val="00B97328"/>
    <w:rsid w:val="00B97FF4"/>
    <w:rsid w:val="00BA1F78"/>
    <w:rsid w:val="00BA40FE"/>
    <w:rsid w:val="00BA723A"/>
    <w:rsid w:val="00BB058C"/>
    <w:rsid w:val="00BB0CAA"/>
    <w:rsid w:val="00BB1242"/>
    <w:rsid w:val="00BB300A"/>
    <w:rsid w:val="00BD0C35"/>
    <w:rsid w:val="00BD0F72"/>
    <w:rsid w:val="00BD3C3F"/>
    <w:rsid w:val="00BD4422"/>
    <w:rsid w:val="00BE260B"/>
    <w:rsid w:val="00BE5250"/>
    <w:rsid w:val="00BE7C45"/>
    <w:rsid w:val="00BF2FC8"/>
    <w:rsid w:val="00BF73D6"/>
    <w:rsid w:val="00C10A6B"/>
    <w:rsid w:val="00C10D1D"/>
    <w:rsid w:val="00C1319D"/>
    <w:rsid w:val="00C16F0F"/>
    <w:rsid w:val="00C20138"/>
    <w:rsid w:val="00C24A57"/>
    <w:rsid w:val="00C305A1"/>
    <w:rsid w:val="00C3235F"/>
    <w:rsid w:val="00C336FC"/>
    <w:rsid w:val="00C4026B"/>
    <w:rsid w:val="00C40C95"/>
    <w:rsid w:val="00C42403"/>
    <w:rsid w:val="00C45E10"/>
    <w:rsid w:val="00C47D29"/>
    <w:rsid w:val="00C50C2B"/>
    <w:rsid w:val="00C5693C"/>
    <w:rsid w:val="00C61BA2"/>
    <w:rsid w:val="00C66B42"/>
    <w:rsid w:val="00C7007A"/>
    <w:rsid w:val="00C703EB"/>
    <w:rsid w:val="00C72B06"/>
    <w:rsid w:val="00C76103"/>
    <w:rsid w:val="00C803FA"/>
    <w:rsid w:val="00C81639"/>
    <w:rsid w:val="00C81B40"/>
    <w:rsid w:val="00C84F29"/>
    <w:rsid w:val="00C869CB"/>
    <w:rsid w:val="00C86C27"/>
    <w:rsid w:val="00C92612"/>
    <w:rsid w:val="00C931CD"/>
    <w:rsid w:val="00C94EBF"/>
    <w:rsid w:val="00C9626B"/>
    <w:rsid w:val="00CA6AF7"/>
    <w:rsid w:val="00CD1865"/>
    <w:rsid w:val="00CE6DDA"/>
    <w:rsid w:val="00CF522E"/>
    <w:rsid w:val="00CF6B94"/>
    <w:rsid w:val="00CF7E2A"/>
    <w:rsid w:val="00D05D74"/>
    <w:rsid w:val="00D07102"/>
    <w:rsid w:val="00D1027D"/>
    <w:rsid w:val="00D141DC"/>
    <w:rsid w:val="00D14CD2"/>
    <w:rsid w:val="00D2040C"/>
    <w:rsid w:val="00D24AAE"/>
    <w:rsid w:val="00D27F72"/>
    <w:rsid w:val="00D346F9"/>
    <w:rsid w:val="00D347A3"/>
    <w:rsid w:val="00D34BA8"/>
    <w:rsid w:val="00D360CA"/>
    <w:rsid w:val="00D37137"/>
    <w:rsid w:val="00D42CB0"/>
    <w:rsid w:val="00D448B2"/>
    <w:rsid w:val="00D525A1"/>
    <w:rsid w:val="00D64673"/>
    <w:rsid w:val="00D677CC"/>
    <w:rsid w:val="00D7130E"/>
    <w:rsid w:val="00D725A3"/>
    <w:rsid w:val="00D7261F"/>
    <w:rsid w:val="00D73227"/>
    <w:rsid w:val="00D7391D"/>
    <w:rsid w:val="00D74D85"/>
    <w:rsid w:val="00D777E2"/>
    <w:rsid w:val="00D77839"/>
    <w:rsid w:val="00D97BB0"/>
    <w:rsid w:val="00DA144A"/>
    <w:rsid w:val="00DA227D"/>
    <w:rsid w:val="00DA312B"/>
    <w:rsid w:val="00DA4005"/>
    <w:rsid w:val="00DA56E7"/>
    <w:rsid w:val="00DA5E6E"/>
    <w:rsid w:val="00DA6576"/>
    <w:rsid w:val="00DA6974"/>
    <w:rsid w:val="00DA788A"/>
    <w:rsid w:val="00DC0EFF"/>
    <w:rsid w:val="00DD0887"/>
    <w:rsid w:val="00DD5839"/>
    <w:rsid w:val="00DE1BD1"/>
    <w:rsid w:val="00DE3679"/>
    <w:rsid w:val="00DE631D"/>
    <w:rsid w:val="00DF22D0"/>
    <w:rsid w:val="00DF2A01"/>
    <w:rsid w:val="00DF32B0"/>
    <w:rsid w:val="00DF729D"/>
    <w:rsid w:val="00E00D6F"/>
    <w:rsid w:val="00E010F2"/>
    <w:rsid w:val="00E065CF"/>
    <w:rsid w:val="00E22B07"/>
    <w:rsid w:val="00E26F62"/>
    <w:rsid w:val="00E32099"/>
    <w:rsid w:val="00E32B3A"/>
    <w:rsid w:val="00E34F9E"/>
    <w:rsid w:val="00E367FC"/>
    <w:rsid w:val="00E437C6"/>
    <w:rsid w:val="00E506C0"/>
    <w:rsid w:val="00E54051"/>
    <w:rsid w:val="00E57BA4"/>
    <w:rsid w:val="00E57F55"/>
    <w:rsid w:val="00E63F66"/>
    <w:rsid w:val="00E642C9"/>
    <w:rsid w:val="00E6461C"/>
    <w:rsid w:val="00E67540"/>
    <w:rsid w:val="00E7111B"/>
    <w:rsid w:val="00E74DF0"/>
    <w:rsid w:val="00E762C6"/>
    <w:rsid w:val="00E77BC6"/>
    <w:rsid w:val="00E855D9"/>
    <w:rsid w:val="00E86C5B"/>
    <w:rsid w:val="00E930C2"/>
    <w:rsid w:val="00E95D31"/>
    <w:rsid w:val="00EA0071"/>
    <w:rsid w:val="00EA6624"/>
    <w:rsid w:val="00EB2C03"/>
    <w:rsid w:val="00EB4C3F"/>
    <w:rsid w:val="00EB5452"/>
    <w:rsid w:val="00EB633F"/>
    <w:rsid w:val="00EB769F"/>
    <w:rsid w:val="00EC74B5"/>
    <w:rsid w:val="00EC7F3F"/>
    <w:rsid w:val="00ED322B"/>
    <w:rsid w:val="00ED7E41"/>
    <w:rsid w:val="00EE1F1D"/>
    <w:rsid w:val="00EE456E"/>
    <w:rsid w:val="00EE5F97"/>
    <w:rsid w:val="00EF4305"/>
    <w:rsid w:val="00EF7385"/>
    <w:rsid w:val="00F00A86"/>
    <w:rsid w:val="00F031CB"/>
    <w:rsid w:val="00F031FF"/>
    <w:rsid w:val="00F05764"/>
    <w:rsid w:val="00F0592B"/>
    <w:rsid w:val="00F10368"/>
    <w:rsid w:val="00F10749"/>
    <w:rsid w:val="00F13B62"/>
    <w:rsid w:val="00F202A7"/>
    <w:rsid w:val="00F241F2"/>
    <w:rsid w:val="00F24272"/>
    <w:rsid w:val="00F24D22"/>
    <w:rsid w:val="00F3309D"/>
    <w:rsid w:val="00F37BFC"/>
    <w:rsid w:val="00F42564"/>
    <w:rsid w:val="00F4562C"/>
    <w:rsid w:val="00F53961"/>
    <w:rsid w:val="00F55140"/>
    <w:rsid w:val="00F55EB7"/>
    <w:rsid w:val="00F62DE1"/>
    <w:rsid w:val="00F653C1"/>
    <w:rsid w:val="00F738C0"/>
    <w:rsid w:val="00F7558D"/>
    <w:rsid w:val="00F803A6"/>
    <w:rsid w:val="00F8106C"/>
    <w:rsid w:val="00F8405C"/>
    <w:rsid w:val="00F91C44"/>
    <w:rsid w:val="00F927B2"/>
    <w:rsid w:val="00F93A51"/>
    <w:rsid w:val="00F96AC0"/>
    <w:rsid w:val="00FA00D7"/>
    <w:rsid w:val="00FA433D"/>
    <w:rsid w:val="00FA5959"/>
    <w:rsid w:val="00FA7ACF"/>
    <w:rsid w:val="00FB10BB"/>
    <w:rsid w:val="00FB2AA6"/>
    <w:rsid w:val="00FB729D"/>
    <w:rsid w:val="00FC432F"/>
    <w:rsid w:val="00FD13FF"/>
    <w:rsid w:val="00FD28DE"/>
    <w:rsid w:val="00FD2981"/>
    <w:rsid w:val="00FD522D"/>
    <w:rsid w:val="00FD6B40"/>
    <w:rsid w:val="00FE0798"/>
    <w:rsid w:val="00FE0D61"/>
    <w:rsid w:val="00FE1531"/>
    <w:rsid w:val="00FE1D9E"/>
    <w:rsid w:val="00FE7B62"/>
    <w:rsid w:val="00FF134B"/>
    <w:rsid w:val="00FF72C6"/>
    <w:rsid w:val="05544C13"/>
    <w:rsid w:val="064D6E62"/>
    <w:rsid w:val="075B6E82"/>
    <w:rsid w:val="0A5C540E"/>
    <w:rsid w:val="0A9B4EF3"/>
    <w:rsid w:val="10C41590"/>
    <w:rsid w:val="1406419F"/>
    <w:rsid w:val="16E82E58"/>
    <w:rsid w:val="17EE4F0B"/>
    <w:rsid w:val="1A535F3F"/>
    <w:rsid w:val="1B201E0F"/>
    <w:rsid w:val="1B384BEE"/>
    <w:rsid w:val="1BBD4E63"/>
    <w:rsid w:val="1BDD21C2"/>
    <w:rsid w:val="1C4B6079"/>
    <w:rsid w:val="1F2271F8"/>
    <w:rsid w:val="2056260A"/>
    <w:rsid w:val="22A204E7"/>
    <w:rsid w:val="24FB77BE"/>
    <w:rsid w:val="25297E3C"/>
    <w:rsid w:val="272C6B52"/>
    <w:rsid w:val="2A4E2EF7"/>
    <w:rsid w:val="2E182F2D"/>
    <w:rsid w:val="2E3D3071"/>
    <w:rsid w:val="2F5F0000"/>
    <w:rsid w:val="2F6241C8"/>
    <w:rsid w:val="31DB13D9"/>
    <w:rsid w:val="323971F4"/>
    <w:rsid w:val="362F1373"/>
    <w:rsid w:val="3BC57075"/>
    <w:rsid w:val="3C6D50C8"/>
    <w:rsid w:val="3CA65DAF"/>
    <w:rsid w:val="3CE242F0"/>
    <w:rsid w:val="40CB42ED"/>
    <w:rsid w:val="40D779C4"/>
    <w:rsid w:val="42947A49"/>
    <w:rsid w:val="46706B77"/>
    <w:rsid w:val="4B390BF7"/>
    <w:rsid w:val="528B5FFB"/>
    <w:rsid w:val="52DF2202"/>
    <w:rsid w:val="53F772E9"/>
    <w:rsid w:val="561342C3"/>
    <w:rsid w:val="561455C8"/>
    <w:rsid w:val="58721B1C"/>
    <w:rsid w:val="58820BC4"/>
    <w:rsid w:val="5A91450F"/>
    <w:rsid w:val="5AD75815"/>
    <w:rsid w:val="5B46714E"/>
    <w:rsid w:val="5B9459A4"/>
    <w:rsid w:val="5C813653"/>
    <w:rsid w:val="5F2538A6"/>
    <w:rsid w:val="617F3536"/>
    <w:rsid w:val="62D00E29"/>
    <w:rsid w:val="62FA7AA0"/>
    <w:rsid w:val="63FF4CB0"/>
    <w:rsid w:val="6CA3513B"/>
    <w:rsid w:val="713502C9"/>
    <w:rsid w:val="713C56D6"/>
    <w:rsid w:val="73236A1F"/>
    <w:rsid w:val="76D67F05"/>
    <w:rsid w:val="7A4B2C6B"/>
    <w:rsid w:val="7E54384F"/>
    <w:rsid w:val="7FB44B21"/>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6">
    <w:name w:val="macro"/>
    <w:link w:val="34"/>
    <w:semiHidden/>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eastAsia="宋体" w:cs="Times New Roman"/>
      <w:lang w:val="en-US" w:eastAsia="zh-CN" w:bidi="ar-SA"/>
    </w:rPr>
  </w:style>
  <w:style w:type="paragraph" w:styleId="7">
    <w:name w:val="Normal Indent"/>
    <w:basedOn w:val="1"/>
    <w:unhideWhenUsed/>
    <w:qFormat/>
    <w:uiPriority w:val="99"/>
    <w:pPr>
      <w:ind w:firstLine="420" w:firstLineChars="200"/>
    </w:pPr>
  </w:style>
  <w:style w:type="paragraph" w:styleId="8">
    <w:name w:val="Document Map"/>
    <w:basedOn w:val="1"/>
    <w:link w:val="30"/>
    <w:unhideWhenUsed/>
    <w:qFormat/>
    <w:uiPriority w:val="99"/>
    <w:rPr>
      <w:rFonts w:ascii="宋体"/>
      <w:sz w:val="18"/>
      <w:szCs w:val="18"/>
    </w:rPr>
  </w:style>
  <w:style w:type="paragraph" w:styleId="9">
    <w:name w:val="Body Text"/>
    <w:basedOn w:val="1"/>
    <w:link w:val="35"/>
    <w:unhideWhenUsed/>
    <w:qFormat/>
    <w:uiPriority w:val="99"/>
    <w:pPr>
      <w:spacing w:after="120"/>
    </w:pPr>
  </w:style>
  <w:style w:type="paragraph" w:styleId="10">
    <w:name w:val="Body Text Indent"/>
    <w:basedOn w:val="1"/>
    <w:unhideWhenUsed/>
    <w:qFormat/>
    <w:uiPriority w:val="99"/>
    <w:pPr>
      <w:ind w:firstLine="630"/>
    </w:pPr>
    <w:rPr>
      <w:sz w:val="32"/>
      <w:szCs w:val="20"/>
    </w:rPr>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37"/>
    <w:unhideWhenUsed/>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7">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8">
    <w:name w:val="Normal (Web)"/>
    <w:basedOn w:val="1"/>
    <w:unhideWhenUsed/>
    <w:qFormat/>
    <w:uiPriority w:val="99"/>
    <w:pPr>
      <w:widowControl/>
      <w:spacing w:before="100" w:beforeAutospacing="1" w:after="100" w:afterAutospacing="1"/>
      <w:jc w:val="left"/>
    </w:pPr>
    <w:rPr>
      <w:rFonts w:ascii="宋体" w:hAnsi="宋体"/>
      <w:kern w:val="0"/>
      <w:sz w:val="18"/>
      <w:szCs w:val="18"/>
    </w:rPr>
  </w:style>
  <w:style w:type="character" w:styleId="20">
    <w:name w:val="page number"/>
    <w:basedOn w:val="19"/>
    <w:unhideWhenUsed/>
    <w:qFormat/>
    <w:uiPriority w:val="99"/>
  </w:style>
  <w:style w:type="character" w:styleId="21">
    <w:name w:val="FollowedHyperlink"/>
    <w:unhideWhenUsed/>
    <w:qFormat/>
    <w:uiPriority w:val="99"/>
    <w:rPr>
      <w:color w:val="800080"/>
      <w:u w:val="single"/>
    </w:rPr>
  </w:style>
  <w:style w:type="character" w:styleId="22">
    <w:name w:val="Hyperlink"/>
    <w:unhideWhenUsed/>
    <w:qFormat/>
    <w:uiPriority w:val="99"/>
    <w:rPr>
      <w:color w:val="0563C1"/>
      <w:u w:val="single"/>
    </w:rPr>
  </w:style>
  <w:style w:type="paragraph" w:customStyle="1" w:styleId="24">
    <w:name w:val="TOC 标题1"/>
    <w:basedOn w:val="2"/>
    <w:next w:val="1"/>
    <w:qFormat/>
    <w:uiPriority w:val="39"/>
    <w:pPr>
      <w:widowControl/>
      <w:spacing w:before="480" w:after="0" w:line="276" w:lineRule="auto"/>
      <w:jc w:val="left"/>
      <w:outlineLvl w:val="9"/>
    </w:pPr>
    <w:rPr>
      <w:rFonts w:ascii="Calibri Light" w:hAnsi="Calibri Light"/>
      <w:color w:val="2E74B5"/>
      <w:kern w:val="0"/>
      <w:sz w:val="28"/>
      <w:szCs w:val="28"/>
    </w:rPr>
  </w:style>
  <w:style w:type="paragraph" w:customStyle="1" w:styleId="25">
    <w:name w:val="z-窗体顶端1"/>
    <w:basedOn w:val="1"/>
    <w:qFormat/>
    <w:uiPriority w:val="34"/>
    <w:pPr>
      <w:ind w:firstLine="420" w:firstLineChars="200"/>
    </w:pPr>
    <w:rPr>
      <w:rFonts w:ascii="Calibri" w:hAnsi="Calibri"/>
      <w:szCs w:val="22"/>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character" w:customStyle="1" w:styleId="30">
    <w:name w:val="文档结构图 Char"/>
    <w:link w:val="8"/>
    <w:semiHidden/>
    <w:qFormat/>
    <w:uiPriority w:val="99"/>
    <w:rPr>
      <w:rFonts w:ascii="宋体"/>
      <w:kern w:val="2"/>
      <w:sz w:val="18"/>
      <w:szCs w:val="18"/>
    </w:rPr>
  </w:style>
  <w:style w:type="character" w:customStyle="1" w:styleId="31">
    <w:name w:val="页脚 Char"/>
    <w:link w:val="14"/>
    <w:qFormat/>
    <w:uiPriority w:val="99"/>
    <w:rPr>
      <w:kern w:val="2"/>
      <w:sz w:val="18"/>
      <w:szCs w:val="24"/>
    </w:rPr>
  </w:style>
  <w:style w:type="paragraph" w:customStyle="1" w:styleId="32">
    <w:name w:val="文档版本控制内容"/>
    <w:basedOn w:val="9"/>
    <w:qFormat/>
    <w:uiPriority w:val="0"/>
    <w:pPr>
      <w:pBdr>
        <w:top w:val="single" w:color="auto" w:sz="48" w:space="1"/>
      </w:pBdr>
      <w:ind w:right="8089" w:rightChars="3852"/>
      <w:jc w:val="left"/>
    </w:pPr>
    <w:rPr>
      <w:rFonts w:ascii="黑体" w:eastAsia="黑体"/>
      <w:b/>
      <w:sz w:val="24"/>
    </w:rPr>
  </w:style>
  <w:style w:type="paragraph" w:customStyle="1" w:styleId="33">
    <w:name w:val="Table Text"/>
    <w:basedOn w:val="1"/>
    <w:qFormat/>
    <w:uiPriority w:val="0"/>
    <w:pPr>
      <w:keepLines/>
      <w:widowControl/>
      <w:overflowPunct w:val="0"/>
      <w:autoSpaceDE w:val="0"/>
      <w:autoSpaceDN w:val="0"/>
      <w:adjustRightInd w:val="0"/>
      <w:jc w:val="left"/>
      <w:textAlignment w:val="baseline"/>
    </w:pPr>
    <w:rPr>
      <w:rFonts w:ascii="Book Antiqua" w:hAnsi="Book Antiqua"/>
      <w:kern w:val="0"/>
      <w:sz w:val="16"/>
      <w:szCs w:val="20"/>
    </w:rPr>
  </w:style>
  <w:style w:type="character" w:customStyle="1" w:styleId="34">
    <w:name w:val="宏文本 Char"/>
    <w:link w:val="6"/>
    <w:semiHidden/>
    <w:qFormat/>
    <w:uiPriority w:val="0"/>
    <w:rPr>
      <w:rFonts w:ascii="Arial Narrow" w:hAnsi="Arial Narrow"/>
      <w:lang w:val="en-US" w:eastAsia="zh-CN" w:bidi="ar-SA"/>
    </w:rPr>
  </w:style>
  <w:style w:type="character" w:customStyle="1" w:styleId="35">
    <w:name w:val="正文文本 Char"/>
    <w:link w:val="9"/>
    <w:semiHidden/>
    <w:qFormat/>
    <w:uiPriority w:val="99"/>
    <w:rPr>
      <w:kern w:val="2"/>
      <w:sz w:val="21"/>
      <w:szCs w:val="24"/>
    </w:rPr>
  </w:style>
  <w:style w:type="paragraph" w:customStyle="1" w:styleId="3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7">
    <w:name w:val="批注框文本 Char"/>
    <w:link w:val="13"/>
    <w:semiHidden/>
    <w:qFormat/>
    <w:uiPriority w:val="99"/>
    <w:rPr>
      <w:kern w:val="2"/>
      <w:sz w:val="18"/>
      <w:szCs w:val="18"/>
    </w:rPr>
  </w:style>
  <w:style w:type="character" w:customStyle="1" w:styleId="38">
    <w:name w:val="标题 4 Char"/>
    <w:link w:val="5"/>
    <w:qFormat/>
    <w:uiPriority w:val="9"/>
    <w:rPr>
      <w:rFonts w:ascii="Cambria" w:hAnsi="Cambria" w:eastAsia="宋体" w:cs="Times New Roman"/>
      <w:b/>
      <w:bCs/>
      <w:kern w:val="2"/>
      <w:sz w:val="28"/>
      <w:szCs w:val="28"/>
    </w:rPr>
  </w:style>
  <w:style w:type="character" w:customStyle="1" w:styleId="39">
    <w:name w:val="apple-converted-space"/>
    <w:basedOn w:val="19"/>
    <w:qFormat/>
    <w:uiPriority w:val="0"/>
  </w:style>
  <w:style w:type="paragraph" w:styleId="40">
    <w:name w:val="List Paragraph"/>
    <w:basedOn w:val="1"/>
    <w:link w:val="41"/>
    <w:unhideWhenUsed/>
    <w:qFormat/>
    <w:uiPriority w:val="34"/>
    <w:pPr>
      <w:ind w:firstLine="420" w:firstLineChars="200"/>
    </w:pPr>
  </w:style>
  <w:style w:type="character" w:customStyle="1" w:styleId="41">
    <w:name w:val="列出段落 Char"/>
    <w:basedOn w:val="19"/>
    <w:link w:val="40"/>
    <w:qFormat/>
    <w:uiPriority w:val="34"/>
    <w:rPr>
      <w:kern w:val="2"/>
      <w:sz w:val="21"/>
      <w:szCs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44B86-FB21-477D-BBD2-0B14F4E39F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2901</Words>
  <Characters>16539</Characters>
  <Lines>137</Lines>
  <Paragraphs>38</Paragraphs>
  <ScaleCrop>false</ScaleCrop>
  <LinksUpToDate>false</LinksUpToDate>
  <CharactersWithSpaces>19402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2018-03-06T09:27:00Z</dcterms:created>
  <dc:creator>dreamsummit</dc:creator>
  <cp:lastModifiedBy>婷✨</cp:lastModifiedBy>
  <cp:lastPrinted>2018-03-12T06:42:00Z</cp:lastPrinted>
  <dcterms:modified xsi:type="dcterms:W3CDTF">2018-03-29T01:36:44Z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